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18BF" w:rsidRDefault="00233EC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Maciej Zygmunt</w:t>
      </w:r>
    </w:p>
    <w:p w14:paraId="00000002" w14:textId="77777777" w:rsidR="003E18BF" w:rsidRDefault="00233EC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Jagiellonian University in Cracow</w:t>
      </w:r>
    </w:p>
    <w:p w14:paraId="00000003" w14:textId="77777777" w:rsidR="003E18BF" w:rsidRDefault="00233EC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ORCID: 0000-0003-2022-221X</w:t>
      </w:r>
    </w:p>
    <w:p w14:paraId="00000004" w14:textId="77777777" w:rsidR="003E18BF" w:rsidRDefault="003E18BF">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420" w:lineRule="auto"/>
        <w:rPr>
          <w:rFonts w:ascii="Times New Roman" w:eastAsia="Times New Roman" w:hAnsi="Times New Roman" w:cs="Times New Roman"/>
          <w:b/>
          <w:sz w:val="24"/>
          <w:szCs w:val="24"/>
        </w:rPr>
      </w:pPr>
    </w:p>
    <w:p w14:paraId="00000005" w14:textId="77777777" w:rsidR="003E18BF" w:rsidRDefault="00233EC6">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42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court as a subject of the process of applying the constitution</w:t>
      </w:r>
    </w:p>
    <w:p w14:paraId="00000006" w14:textId="77777777" w:rsidR="003E18BF" w:rsidRDefault="00233EC6">
      <w:pPr>
        <w:spacing w:before="200" w:line="360" w:lineRule="auto"/>
        <w:ind w:firstLine="720"/>
        <w:jc w:val="both"/>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b/>
          <w:color w:val="0D0D0D"/>
          <w:sz w:val="24"/>
          <w:szCs w:val="24"/>
          <w:highlight w:val="white"/>
        </w:rPr>
        <w:t xml:space="preserve">1. </w:t>
      </w:r>
      <w:r>
        <w:rPr>
          <w:rFonts w:ascii="Times New Roman" w:eastAsia="Times New Roman" w:hAnsi="Times New Roman" w:cs="Times New Roman"/>
          <w:color w:val="0D0D0D"/>
          <w:sz w:val="24"/>
          <w:szCs w:val="24"/>
          <w:highlight w:val="white"/>
        </w:rPr>
        <w:t xml:space="preserve">In recent years, there has been a particular interest among legal theorists and scholars in the issue of judicial application of the law, especially concerning the direct application of the constitution in the practice of justice. A deeper analysis is required regarding the functions that courts </w:t>
      </w:r>
      <w:proofErr w:type="spellStart"/>
      <w:r>
        <w:rPr>
          <w:rFonts w:ascii="Times New Roman" w:eastAsia="Times New Roman" w:hAnsi="Times New Roman" w:cs="Times New Roman"/>
          <w:color w:val="0D0D0D"/>
          <w:sz w:val="24"/>
          <w:szCs w:val="24"/>
          <w:highlight w:val="white"/>
        </w:rPr>
        <w:t>fulfill</w:t>
      </w:r>
      <w:proofErr w:type="spellEnd"/>
      <w:r>
        <w:rPr>
          <w:rFonts w:ascii="Times New Roman" w:eastAsia="Times New Roman" w:hAnsi="Times New Roman" w:cs="Times New Roman"/>
          <w:color w:val="0D0D0D"/>
          <w:sz w:val="24"/>
          <w:szCs w:val="24"/>
          <w:highlight w:val="white"/>
        </w:rPr>
        <w:t xml:space="preserve"> in the process of applying the constitution. This paper advocates the view that in light of the wording and axiology of the Polish constitution, courts are not only authorized but also obligated to directly apply the fundamental law. As a result, they bear numerous duties from which they cannot shy away in judicial practice.</w:t>
      </w:r>
    </w:p>
    <w:p w14:paraId="00000007" w14:textId="65357B18" w:rsidR="003E18BF" w:rsidRDefault="00233EC6">
      <w:pPr>
        <w:spacing w:before="200" w:line="360" w:lineRule="auto"/>
        <w:ind w:firstLine="720"/>
        <w:jc w:val="both"/>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b/>
          <w:color w:val="0D0D0D"/>
          <w:sz w:val="24"/>
          <w:szCs w:val="24"/>
          <w:highlight w:val="white"/>
        </w:rPr>
        <w:t xml:space="preserve">2. </w:t>
      </w:r>
      <w:r>
        <w:rPr>
          <w:rFonts w:ascii="Times New Roman" w:eastAsia="Times New Roman" w:hAnsi="Times New Roman" w:cs="Times New Roman"/>
          <w:color w:val="0D0D0D"/>
          <w:sz w:val="24"/>
          <w:szCs w:val="24"/>
          <w:highlight w:val="white"/>
        </w:rPr>
        <w:t>From a historical perspective, determining the limits of judicial authority in the process of applying the law has always been particularly significant for jurisprudence. In this context, attention has been primarily drawn to the principle of judges' binding by the constitution and statute, although one can also observe a multitude of definitions of this principle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color w:val="0D0D0D"/>
          <w:sz w:val="24"/>
          <w:szCs w:val="24"/>
          <w:highlight w:val="white"/>
        </w:rPr>
        <w:t xml:space="preserve">. In the 17th century, there was a call to limit the judge's tasks to establishing the factual state and subsuming it under a clear, unambiguous, and non-interpretative legal norm. This demand aligns with Immanuel Kant's postulate to prohibit judges from relying on principles of equity in adjudication. Thus, a clear distinction was drawn between the legislator, establishing legal rules, and the courts, whose task </w:t>
      </w:r>
      <w:r w:rsidR="00F539D0">
        <w:rPr>
          <w:rFonts w:ascii="Times New Roman" w:eastAsia="Times New Roman" w:hAnsi="Times New Roman" w:cs="Times New Roman"/>
          <w:color w:val="0D0D0D"/>
          <w:sz w:val="24"/>
          <w:szCs w:val="24"/>
          <w:highlight w:val="white"/>
        </w:rPr>
        <w:t>was</w:t>
      </w:r>
      <w:r>
        <w:rPr>
          <w:rFonts w:ascii="Times New Roman" w:eastAsia="Times New Roman" w:hAnsi="Times New Roman" w:cs="Times New Roman"/>
          <w:color w:val="0D0D0D"/>
          <w:sz w:val="24"/>
          <w:szCs w:val="24"/>
          <w:highlight w:val="white"/>
        </w:rPr>
        <w:t xml:space="preserve"> solely the application of those norms. In this purely bureaucratic model of judging, it is impossible to develop a completely different way of thinking about the interpretation and application of the law</w:t>
      </w:r>
      <w:r w:rsidRPr="00ED4964">
        <w:rPr>
          <w:rFonts w:ascii="Times New Roman" w:eastAsia="Times New Roman" w:hAnsi="Times New Roman" w:cs="Times New Roman"/>
          <w:color w:val="0D0D0D"/>
          <w:sz w:val="24"/>
          <w:szCs w:val="24"/>
        </w:rPr>
        <w:t>. It is</w:t>
      </w:r>
      <w:r w:rsidR="00ED4964" w:rsidRPr="00ED4964">
        <w:rPr>
          <w:rFonts w:ascii="Times New Roman" w:eastAsia="Times New Roman" w:hAnsi="Times New Roman" w:cs="Times New Roman"/>
          <w:color w:val="0D0D0D"/>
          <w:sz w:val="24"/>
          <w:szCs w:val="24"/>
        </w:rPr>
        <w:t xml:space="preserve"> also</w:t>
      </w:r>
      <w:r w:rsidRPr="00ED4964">
        <w:rPr>
          <w:rFonts w:ascii="Times New Roman" w:eastAsia="Times New Roman" w:hAnsi="Times New Roman" w:cs="Times New Roman"/>
          <w:color w:val="0D0D0D"/>
          <w:sz w:val="24"/>
          <w:szCs w:val="24"/>
        </w:rPr>
        <w:t xml:space="preserve"> difficult </w:t>
      </w:r>
      <w:r w:rsidRPr="00F539D0">
        <w:rPr>
          <w:rFonts w:ascii="Times New Roman" w:eastAsia="Times New Roman" w:hAnsi="Times New Roman" w:cs="Times New Roman"/>
          <w:color w:val="0D0D0D"/>
          <w:sz w:val="24"/>
          <w:szCs w:val="24"/>
          <w:highlight w:val="white"/>
        </w:rPr>
        <w:t>to accept an interpretative paradigm that considers the equivalence of various types of interpretation, thereby rejecting the absolute primacy of linguistic interpretation, while also aiming to saturate the law with values</w:t>
      </w:r>
      <w:r w:rsidR="00ED4964">
        <w:rPr>
          <w:rFonts w:ascii="Times New Roman" w:eastAsia="Times New Roman" w:hAnsi="Times New Roman" w:cs="Times New Roman"/>
          <w:color w:val="0D0D0D"/>
          <w:sz w:val="24"/>
          <w:szCs w:val="24"/>
          <w:highlight w:val="white"/>
        </w:rPr>
        <w:t xml:space="preserve"> and</w:t>
      </w:r>
      <w:r w:rsidRPr="00F539D0">
        <w:rPr>
          <w:rFonts w:ascii="Times New Roman" w:eastAsia="Times New Roman" w:hAnsi="Times New Roman" w:cs="Times New Roman"/>
          <w:color w:val="0D0D0D"/>
          <w:sz w:val="24"/>
          <w:szCs w:val="24"/>
          <w:highlight w:val="white"/>
        </w:rPr>
        <w:t xml:space="preserve"> achieving an axiological goal set by the constitution.</w:t>
      </w:r>
    </w:p>
    <w:p w14:paraId="00000008" w14:textId="279B3437" w:rsidR="003E18BF" w:rsidRDefault="00233EC6">
      <w:pPr>
        <w:spacing w:before="200" w:line="360" w:lineRule="auto"/>
        <w:ind w:firstLine="720"/>
        <w:jc w:val="both"/>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b/>
          <w:color w:val="0D0D0D"/>
          <w:sz w:val="24"/>
          <w:szCs w:val="24"/>
          <w:highlight w:val="white"/>
        </w:rPr>
        <w:t xml:space="preserve">3. </w:t>
      </w:r>
      <w:r>
        <w:rPr>
          <w:rFonts w:ascii="Times New Roman" w:eastAsia="Times New Roman" w:hAnsi="Times New Roman" w:cs="Times New Roman"/>
          <w:color w:val="0D0D0D"/>
          <w:sz w:val="24"/>
          <w:szCs w:val="24"/>
          <w:highlight w:val="white"/>
        </w:rPr>
        <w:t xml:space="preserve">It seems undeniable to assert that today the judicial model described above is widely rejected. It is obvious that the constitution cannot be understood solely in terms of its impact on the organization of the state and the exercise of power, as well as the formal legal shape of the legal system. Without diminishing the importance of the constitutional structure of the </w:t>
      </w:r>
      <w:r>
        <w:rPr>
          <w:rFonts w:ascii="Times New Roman" w:eastAsia="Times New Roman" w:hAnsi="Times New Roman" w:cs="Times New Roman"/>
          <w:color w:val="0D0D0D"/>
          <w:sz w:val="24"/>
          <w:szCs w:val="24"/>
          <w:highlight w:val="white"/>
        </w:rPr>
        <w:lastRenderedPageBreak/>
        <w:t>political community, especially in the context of its ability to achieve important social goals, it should be noted that the phenomenon of the fundamental law lies in establishing the source of the axiological axis of the legal system</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color w:val="0D0D0D"/>
          <w:sz w:val="24"/>
          <w:szCs w:val="24"/>
          <w:highlight w:val="white"/>
        </w:rPr>
        <w:t xml:space="preserve">. </w:t>
      </w:r>
      <w:r w:rsidRPr="00ED4964">
        <w:rPr>
          <w:rFonts w:ascii="Times New Roman" w:eastAsia="Times New Roman" w:hAnsi="Times New Roman" w:cs="Times New Roman"/>
          <w:color w:val="0D0D0D"/>
          <w:sz w:val="24"/>
          <w:szCs w:val="24"/>
          <w:highlight w:val="white"/>
        </w:rPr>
        <w:t>The legal relevance of the supposition of the mutual interconnection of law with morality</w:t>
      </w:r>
      <w:r w:rsidRPr="00ED4964">
        <w:rPr>
          <w:rFonts w:ascii="Times New Roman" w:eastAsia="Times New Roman" w:hAnsi="Times New Roman" w:cs="Times New Roman"/>
          <w:sz w:val="24"/>
          <w:szCs w:val="24"/>
          <w:vertAlign w:val="superscript"/>
        </w:rPr>
        <w:footnoteReference w:id="3"/>
      </w:r>
      <w:r w:rsidRPr="00ED4964">
        <w:rPr>
          <w:rFonts w:ascii="Times New Roman" w:eastAsia="Times New Roman" w:hAnsi="Times New Roman" w:cs="Times New Roman"/>
          <w:color w:val="0D0D0D"/>
          <w:sz w:val="24"/>
          <w:szCs w:val="24"/>
          <w:highlight w:val="white"/>
        </w:rPr>
        <w:t xml:space="preserve"> constitutes one of the main determinants of the process of interpretation and application of </w:t>
      </w:r>
      <w:r w:rsidR="00121349">
        <w:rPr>
          <w:rFonts w:ascii="Times New Roman" w:eastAsia="Times New Roman" w:hAnsi="Times New Roman" w:cs="Times New Roman"/>
          <w:color w:val="0D0D0D"/>
          <w:sz w:val="24"/>
          <w:szCs w:val="24"/>
          <w:highlight w:val="white"/>
        </w:rPr>
        <w:t xml:space="preserve">the </w:t>
      </w:r>
      <w:r w:rsidRPr="00ED4964">
        <w:rPr>
          <w:rFonts w:ascii="Times New Roman" w:eastAsia="Times New Roman" w:hAnsi="Times New Roman" w:cs="Times New Roman"/>
          <w:color w:val="0D0D0D"/>
          <w:sz w:val="24"/>
          <w:szCs w:val="24"/>
          <w:highlight w:val="white"/>
        </w:rPr>
        <w:t>law, also playing a significant role in defining the function of the judiciary in the Polish constitutional model.</w:t>
      </w:r>
    </w:p>
    <w:p w14:paraId="00000009" w14:textId="026A423B" w:rsidR="003E18BF" w:rsidRDefault="00233EC6">
      <w:pPr>
        <w:spacing w:line="360" w:lineRule="auto"/>
        <w:ind w:firstLine="720"/>
        <w:jc w:val="both"/>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color w:val="0D0D0D"/>
          <w:sz w:val="24"/>
          <w:szCs w:val="24"/>
          <w:highlight w:val="white"/>
        </w:rPr>
        <w:t>Even a cursory reading of the constitutional provisions leads to the conclusion that the primary role of the courts is to administer justice by adjudicating “cases” within the meaning of Article 45(1) of the Constitution of the Republic of Poland</w:t>
      </w:r>
      <w:r>
        <w:rPr>
          <w:rFonts w:ascii="Times New Roman" w:eastAsia="Times New Roman" w:hAnsi="Times New Roman" w:cs="Times New Roman"/>
          <w:color w:val="0D0D0D"/>
          <w:sz w:val="24"/>
          <w:szCs w:val="24"/>
          <w:highlight w:val="white"/>
          <w:vertAlign w:val="superscript"/>
        </w:rPr>
        <w:footnoteReference w:id="4"/>
      </w:r>
      <w:r>
        <w:rPr>
          <w:rFonts w:ascii="Times New Roman" w:eastAsia="Times New Roman" w:hAnsi="Times New Roman" w:cs="Times New Roman"/>
          <w:color w:val="0D0D0D"/>
          <w:sz w:val="24"/>
          <w:szCs w:val="24"/>
          <w:highlight w:val="white"/>
        </w:rPr>
        <w:t>. Guaranteed by this provision, the right to a fair trial includes, in particular, the right to obtain a binding decision</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color w:val="0D0D0D"/>
          <w:sz w:val="24"/>
          <w:szCs w:val="24"/>
          <w:highlight w:val="white"/>
        </w:rPr>
        <w:t xml:space="preserve">. The judicial process serves as a means of protecting constitutional freedoms and rights (Article 77(2) of the Constitution), and the courts, in interpreting the constitution and statutes, reconstruct the normative content of </w:t>
      </w:r>
      <w:r w:rsidR="00121349">
        <w:rPr>
          <w:rFonts w:ascii="Times New Roman" w:eastAsia="Times New Roman" w:hAnsi="Times New Roman" w:cs="Times New Roman"/>
          <w:color w:val="0D0D0D"/>
          <w:sz w:val="24"/>
          <w:szCs w:val="24"/>
          <w:highlight w:val="white"/>
        </w:rPr>
        <w:t xml:space="preserve">the </w:t>
      </w:r>
      <w:r>
        <w:rPr>
          <w:rFonts w:ascii="Times New Roman" w:eastAsia="Times New Roman" w:hAnsi="Times New Roman" w:cs="Times New Roman"/>
          <w:color w:val="0D0D0D"/>
          <w:sz w:val="24"/>
          <w:szCs w:val="24"/>
          <w:highlight w:val="white"/>
        </w:rPr>
        <w:t>constitutional rights of individuals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color w:val="0D0D0D"/>
          <w:sz w:val="24"/>
          <w:szCs w:val="24"/>
          <w:highlight w:val="white"/>
        </w:rPr>
        <w:t>.</w:t>
      </w:r>
    </w:p>
    <w:p w14:paraId="0000000A" w14:textId="77777777" w:rsidR="003E18BF" w:rsidRDefault="00233EC6">
      <w:pPr>
        <w:spacing w:line="360" w:lineRule="auto"/>
        <w:ind w:firstLine="720"/>
        <w:jc w:val="both"/>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color w:val="0D0D0D"/>
          <w:sz w:val="24"/>
          <w:szCs w:val="24"/>
          <w:highlight w:val="white"/>
        </w:rPr>
        <w:t>The obligation of judicial application of constitutional laws stems from the normative nature of these laws (Article 8(1) of the Constitution) and the related principle of direct application of the constitution (Article 8(2) of the Constitution). The implementation model of these principles is based on the dualistic protection of the constitution</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color w:val="0D0D0D"/>
          <w:sz w:val="24"/>
          <w:szCs w:val="24"/>
          <w:highlight w:val="white"/>
        </w:rPr>
        <w:t>, which requires judicial activity at the individual-concrete level. This means that courts must be unequivocally classified as recipients of constitutional norms. Directness primarily refers to the possibility of recourse to the provisions of the Constitution of the Republic of Poland without the intermediary of legislation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color w:val="0D0D0D"/>
          <w:sz w:val="24"/>
          <w:szCs w:val="24"/>
          <w:highlight w:val="white"/>
        </w:rPr>
        <w:t xml:space="preserve">. The Constitution, as the supreme element of the legal order's </w:t>
      </w:r>
      <w:r>
        <w:rPr>
          <w:rFonts w:ascii="Times New Roman" w:eastAsia="Times New Roman" w:hAnsi="Times New Roman" w:cs="Times New Roman"/>
          <w:color w:val="0D0D0D"/>
          <w:sz w:val="24"/>
          <w:szCs w:val="24"/>
          <w:highlight w:val="white"/>
        </w:rPr>
        <w:lastRenderedPageBreak/>
        <w:t>structure, establishes the basis for setting the boundaries of law, with the assumption that it must comply with constitutional standards</w:t>
      </w:r>
      <w:r>
        <w:rPr>
          <w:rFonts w:ascii="Times New Roman" w:eastAsia="Times New Roman" w:hAnsi="Times New Roman" w:cs="Times New Roman"/>
          <w:color w:val="0D0D0D"/>
          <w:sz w:val="24"/>
          <w:szCs w:val="24"/>
          <w:highlight w:val="white"/>
          <w:vertAlign w:val="superscript"/>
        </w:rPr>
        <w:footnoteReference w:id="9"/>
      </w:r>
      <w:r>
        <w:rPr>
          <w:rFonts w:ascii="Times New Roman" w:eastAsia="Times New Roman" w:hAnsi="Times New Roman" w:cs="Times New Roman"/>
          <w:color w:val="0D0D0D"/>
          <w:sz w:val="24"/>
          <w:szCs w:val="24"/>
          <w:highlight w:val="white"/>
        </w:rPr>
        <w:t>. The legislature has determined that the provisions of the constitution directly bind all public authorities without exception - including the courts in their adjudicative capacity.</w:t>
      </w:r>
    </w:p>
    <w:p w14:paraId="0000000B" w14:textId="6E4517C3" w:rsidR="003E18BF" w:rsidRDefault="00233EC6">
      <w:pPr>
        <w:spacing w:before="200" w:line="360" w:lineRule="auto"/>
        <w:ind w:firstLine="720"/>
        <w:jc w:val="both"/>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b/>
          <w:color w:val="0D0D0D"/>
          <w:sz w:val="24"/>
          <w:szCs w:val="24"/>
          <w:highlight w:val="white"/>
        </w:rPr>
        <w:t xml:space="preserve">4. </w:t>
      </w:r>
      <w:r>
        <w:rPr>
          <w:rFonts w:ascii="Times New Roman" w:eastAsia="Times New Roman" w:hAnsi="Times New Roman" w:cs="Times New Roman"/>
          <w:color w:val="0D0D0D"/>
          <w:sz w:val="24"/>
          <w:szCs w:val="24"/>
          <w:highlight w:val="white"/>
        </w:rPr>
        <w:t xml:space="preserve">Rejecting the bureaucratic model of judiciary entails imposing a series of obligations on the courts in the field of adjudication. Firstly, it is essential to highlight the duties in the field of legal interpretation. In this context, the obligation to adjudicate based on the constitution up to the limits of </w:t>
      </w:r>
      <w:r w:rsidRPr="00F539D0">
        <w:rPr>
          <w:rFonts w:ascii="Times New Roman" w:eastAsia="Times New Roman" w:hAnsi="Times New Roman" w:cs="Times New Roman"/>
          <w:i/>
          <w:iCs/>
          <w:color w:val="0D0D0D"/>
          <w:sz w:val="24"/>
          <w:szCs w:val="24"/>
          <w:highlight w:val="white"/>
        </w:rPr>
        <w:t xml:space="preserve">contra </w:t>
      </w:r>
      <w:proofErr w:type="spellStart"/>
      <w:r w:rsidRPr="00F539D0">
        <w:rPr>
          <w:rFonts w:ascii="Times New Roman" w:eastAsia="Times New Roman" w:hAnsi="Times New Roman" w:cs="Times New Roman"/>
          <w:i/>
          <w:iCs/>
          <w:color w:val="0D0D0D"/>
          <w:sz w:val="24"/>
          <w:szCs w:val="24"/>
          <w:highlight w:val="white"/>
        </w:rPr>
        <w:t>legem</w:t>
      </w:r>
      <w:proofErr w:type="spellEnd"/>
      <w:r>
        <w:rPr>
          <w:rFonts w:ascii="Times New Roman" w:eastAsia="Times New Roman" w:hAnsi="Times New Roman" w:cs="Times New Roman"/>
          <w:color w:val="0D0D0D"/>
          <w:sz w:val="24"/>
          <w:szCs w:val="24"/>
          <w:highlight w:val="white"/>
        </w:rPr>
        <w:t xml:space="preserve"> interpretation should be considered indisputable. As accurately noted in jurisprudence, the basis of adjudication is not the provision established by the </w:t>
      </w:r>
      <w:r w:rsidR="00F539D0">
        <w:rPr>
          <w:rFonts w:ascii="Times New Roman" w:eastAsia="Times New Roman" w:hAnsi="Times New Roman" w:cs="Times New Roman"/>
          <w:color w:val="0D0D0D"/>
          <w:sz w:val="24"/>
          <w:szCs w:val="24"/>
          <w:highlight w:val="white"/>
        </w:rPr>
        <w:t>legislator,</w:t>
      </w:r>
      <w:r>
        <w:rPr>
          <w:rFonts w:ascii="Times New Roman" w:eastAsia="Times New Roman" w:hAnsi="Times New Roman" w:cs="Times New Roman"/>
          <w:color w:val="0D0D0D"/>
          <w:sz w:val="24"/>
          <w:szCs w:val="24"/>
          <w:highlight w:val="white"/>
        </w:rPr>
        <w:t xml:space="preserve"> but the legal norm decoded through interpretation (a mental operation), which involves translating the set of provisions published in legislative acts into a set of procedural norms equivalent as a whole to the given set of provisions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color w:val="0D0D0D"/>
          <w:sz w:val="24"/>
          <w:szCs w:val="24"/>
          <w:highlight w:val="white"/>
        </w:rPr>
        <w:t>. Due to the shortcomings of the language in which the law is enacted, linguistic ambiguity, so-called textual openness, etc., interpreting clear, unambiguous, and justice-compliant norms requires advanced corrective and adaptive measures carried out in the field of legal interpretation. The limits of interpreting statutes in accordance with the constitution cannot in any way set a prohibition on establishing the content of legal norms contrary to linguistic rules of interpretation</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color w:val="0D0D0D"/>
          <w:sz w:val="24"/>
          <w:szCs w:val="24"/>
          <w:highlight w:val="white"/>
        </w:rPr>
        <w:t>. There must be a clear commitment to the equivalence of basic rules of interpretation (linguistic, systemic, functional), while treating directives for the direct application of the Constitution and international law as sui generis metarules of interpretation. Courts interpreting without reference to constitutional provisions, thus violating interpretation rules in accordance with the constitution</w:t>
      </w:r>
      <w:r w:rsidRPr="00ED4964">
        <w:rPr>
          <w:rFonts w:ascii="Times New Roman" w:eastAsia="Times New Roman" w:hAnsi="Times New Roman" w:cs="Times New Roman"/>
          <w:color w:val="0D0D0D"/>
          <w:sz w:val="24"/>
          <w:szCs w:val="24"/>
        </w:rPr>
        <w:t>, lead</w:t>
      </w:r>
      <w:r w:rsidR="00ED4964" w:rsidRPr="00ED4964">
        <w:rPr>
          <w:rFonts w:ascii="Times New Roman" w:eastAsia="Times New Roman" w:hAnsi="Times New Roman" w:cs="Times New Roman"/>
          <w:color w:val="0D0D0D"/>
          <w:sz w:val="24"/>
          <w:szCs w:val="24"/>
        </w:rPr>
        <w:t>s</w:t>
      </w:r>
      <w:r w:rsidRPr="00ED4964">
        <w:rPr>
          <w:rFonts w:ascii="Times New Roman" w:eastAsia="Times New Roman" w:hAnsi="Times New Roman" w:cs="Times New Roman"/>
          <w:color w:val="0D0D0D"/>
          <w:sz w:val="24"/>
          <w:szCs w:val="24"/>
        </w:rPr>
        <w:t xml:space="preserve"> to </w:t>
      </w:r>
      <w:r>
        <w:rPr>
          <w:rFonts w:ascii="Times New Roman" w:eastAsia="Times New Roman" w:hAnsi="Times New Roman" w:cs="Times New Roman"/>
          <w:color w:val="0D0D0D"/>
          <w:sz w:val="24"/>
          <w:szCs w:val="24"/>
          <w:highlight w:val="white"/>
        </w:rPr>
        <w:t xml:space="preserve">a violation of the law, a reversal of the hierarchy of sources of law, and </w:t>
      </w:r>
      <w:r w:rsidR="00737F15">
        <w:rPr>
          <w:rFonts w:ascii="Times New Roman" w:eastAsia="Times New Roman" w:hAnsi="Times New Roman" w:cs="Times New Roman"/>
          <w:color w:val="0D0D0D"/>
          <w:sz w:val="24"/>
          <w:szCs w:val="24"/>
          <w:highlight w:val="white"/>
        </w:rPr>
        <w:t xml:space="preserve">a </w:t>
      </w:r>
      <w:r>
        <w:rPr>
          <w:rFonts w:ascii="Times New Roman" w:eastAsia="Times New Roman" w:hAnsi="Times New Roman" w:cs="Times New Roman"/>
          <w:color w:val="0D0D0D"/>
          <w:sz w:val="24"/>
          <w:szCs w:val="24"/>
          <w:highlight w:val="white"/>
        </w:rPr>
        <w:t>disruption of the constructive assumptions of the legal system.</w:t>
      </w:r>
    </w:p>
    <w:p w14:paraId="0000000C" w14:textId="77777777" w:rsidR="003E18BF" w:rsidRDefault="00233EC6">
      <w:pPr>
        <w:spacing w:before="200" w:line="360" w:lineRule="auto"/>
        <w:ind w:firstLine="720"/>
        <w:jc w:val="both"/>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b/>
          <w:color w:val="0D0D0D"/>
          <w:sz w:val="24"/>
          <w:szCs w:val="24"/>
          <w:highlight w:val="white"/>
        </w:rPr>
        <w:t xml:space="preserve">5. </w:t>
      </w:r>
      <w:r>
        <w:rPr>
          <w:rFonts w:ascii="Times New Roman" w:eastAsia="Times New Roman" w:hAnsi="Times New Roman" w:cs="Times New Roman"/>
          <w:color w:val="0D0D0D"/>
          <w:sz w:val="24"/>
          <w:szCs w:val="24"/>
          <w:highlight w:val="white"/>
        </w:rPr>
        <w:t xml:space="preserve">Secondly, courts should be obligated to weigh conflicting principles of law, thus determining conditional precedence relationships between principles in specific cases. This applies particularly to constitutional norms establishing individual rights and freedoms. The specificity of the constitution, characterized by the framework of its regulations, semantic openness of its text, and the presence of established concepts and doctrinal references, determines the formulation of rights and freedoms primarily in the form of teleologically </w:t>
      </w:r>
      <w:r>
        <w:rPr>
          <w:rFonts w:ascii="Times New Roman" w:eastAsia="Times New Roman" w:hAnsi="Times New Roman" w:cs="Times New Roman"/>
          <w:color w:val="0D0D0D"/>
          <w:sz w:val="24"/>
          <w:szCs w:val="24"/>
          <w:highlight w:val="white"/>
        </w:rPr>
        <w:lastRenderedPageBreak/>
        <w:t>determined principles with a directional and optimization-oriented character</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color w:val="0D0D0D"/>
          <w:sz w:val="24"/>
          <w:szCs w:val="24"/>
          <w:highlight w:val="white"/>
        </w:rPr>
        <w:t>. Constitutional subjective rights are inherently susceptible to collision with other principles, including other rights and freedoms.</w:t>
      </w:r>
    </w:p>
    <w:p w14:paraId="0000000D" w14:textId="33E19617" w:rsidR="003E18BF" w:rsidRDefault="00233EC6">
      <w:pPr>
        <w:spacing w:line="360" w:lineRule="auto"/>
        <w:ind w:firstLine="720"/>
        <w:jc w:val="both"/>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color w:val="0D0D0D"/>
          <w:sz w:val="24"/>
          <w:szCs w:val="24"/>
          <w:highlight w:val="white"/>
        </w:rPr>
        <w:t xml:space="preserve">As rightly noted by M. </w:t>
      </w:r>
      <w:proofErr w:type="spellStart"/>
      <w:r>
        <w:rPr>
          <w:rFonts w:ascii="Times New Roman" w:eastAsia="Times New Roman" w:hAnsi="Times New Roman" w:cs="Times New Roman"/>
          <w:color w:val="0D0D0D"/>
          <w:sz w:val="24"/>
          <w:szCs w:val="24"/>
          <w:highlight w:val="white"/>
        </w:rPr>
        <w:t>Kordela</w:t>
      </w:r>
      <w:proofErr w:type="spellEnd"/>
      <w:r>
        <w:rPr>
          <w:rFonts w:ascii="Times New Roman" w:eastAsia="Times New Roman" w:hAnsi="Times New Roman" w:cs="Times New Roman"/>
          <w:color w:val="0D0D0D"/>
          <w:sz w:val="24"/>
          <w:szCs w:val="24"/>
          <w:highlight w:val="white"/>
        </w:rPr>
        <w:t>, the application of the weighing mechanism - by virtue of the collision law - results in the acknowledgment of the existence in the system of a rule (ordinary norm), constructed from the structural elements of a principle, which overcame the competing principle</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color w:val="0D0D0D"/>
          <w:sz w:val="24"/>
          <w:szCs w:val="24"/>
          <w:highlight w:val="white"/>
        </w:rPr>
        <w:t>. Although the application of the weighing mechanism and collision law should generally be situated in the realm of legal application</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color w:val="0D0D0D"/>
          <w:sz w:val="24"/>
          <w:szCs w:val="24"/>
          <w:highlight w:val="white"/>
        </w:rPr>
        <w:t>, it cannot be overlooked that due to the difficulties in reconstructing fundamental legal norms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color w:val="0D0D0D"/>
          <w:sz w:val="24"/>
          <w:szCs w:val="24"/>
          <w:highlight w:val="white"/>
        </w:rPr>
        <w:t>, imprecisio</w:t>
      </w:r>
      <w:r w:rsidRPr="00ED4964">
        <w:rPr>
          <w:rFonts w:ascii="Times New Roman" w:eastAsia="Times New Roman" w:hAnsi="Times New Roman" w:cs="Times New Roman"/>
          <w:color w:val="0D0D0D"/>
          <w:sz w:val="24"/>
          <w:szCs w:val="24"/>
        </w:rPr>
        <w:t>n and heterogeneity of collision resolution criteria</w:t>
      </w:r>
      <w:r w:rsidRPr="00ED4964">
        <w:rPr>
          <w:rFonts w:ascii="Times New Roman" w:eastAsia="Times New Roman" w:hAnsi="Times New Roman" w:cs="Times New Roman"/>
          <w:sz w:val="24"/>
          <w:szCs w:val="24"/>
          <w:vertAlign w:val="superscript"/>
        </w:rPr>
        <w:footnoteReference w:id="16"/>
      </w:r>
      <w:r w:rsidRPr="00ED4964">
        <w:rPr>
          <w:rFonts w:ascii="Times New Roman" w:eastAsia="Times New Roman" w:hAnsi="Times New Roman" w:cs="Times New Roman"/>
          <w:color w:val="0D0D0D"/>
          <w:sz w:val="24"/>
          <w:szCs w:val="24"/>
        </w:rPr>
        <w:t xml:space="preserve">, the associated lack of automatism, as </w:t>
      </w:r>
      <w:r>
        <w:rPr>
          <w:rFonts w:ascii="Times New Roman" w:eastAsia="Times New Roman" w:hAnsi="Times New Roman" w:cs="Times New Roman"/>
          <w:color w:val="0D0D0D"/>
          <w:sz w:val="24"/>
          <w:szCs w:val="24"/>
          <w:highlight w:val="white"/>
        </w:rPr>
        <w:t>well as the need for the application of complex argumentative methods in this process, the specificity of weighing essentially exhibits characteristics of law-making activities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color w:val="0D0D0D"/>
          <w:sz w:val="24"/>
          <w:szCs w:val="24"/>
          <w:highlight w:val="white"/>
        </w:rPr>
        <w:t>. The specificity of weighing argumentation therefore dictates that the legal practice requires the establishment of conditional precedence relationships at a sub-constitutional level. This is a task primarily incumbent upon the legislator.</w:t>
      </w:r>
    </w:p>
    <w:p w14:paraId="0000000E" w14:textId="77777777" w:rsidR="003E18BF" w:rsidRDefault="00233EC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 of weighing is to determine which of the conflicting principles, when applied to a specific case (</w:t>
      </w:r>
      <w:proofErr w:type="spellStart"/>
      <w:r>
        <w:rPr>
          <w:rFonts w:ascii="Times New Roman" w:eastAsia="Times New Roman" w:hAnsi="Times New Roman" w:cs="Times New Roman"/>
          <w:i/>
          <w:sz w:val="24"/>
          <w:szCs w:val="24"/>
        </w:rPr>
        <w:t>casu</w:t>
      </w:r>
      <w:proofErr w:type="spellEnd"/>
      <w:r>
        <w:rPr>
          <w:rFonts w:ascii="Times New Roman" w:eastAsia="Times New Roman" w:hAnsi="Times New Roman" w:cs="Times New Roman"/>
          <w:i/>
          <w:sz w:val="24"/>
          <w:szCs w:val="24"/>
        </w:rPr>
        <w:t xml:space="preserve"> ad </w:t>
      </w:r>
      <w:proofErr w:type="spellStart"/>
      <w:r>
        <w:rPr>
          <w:rFonts w:ascii="Times New Roman" w:eastAsia="Times New Roman" w:hAnsi="Times New Roman" w:cs="Times New Roman"/>
          <w:i/>
          <w:sz w:val="24"/>
          <w:szCs w:val="24"/>
        </w:rPr>
        <w:t>casum</w:t>
      </w:r>
      <w:proofErr w:type="spellEnd"/>
      <w:r>
        <w:rPr>
          <w:rFonts w:ascii="Times New Roman" w:eastAsia="Times New Roman" w:hAnsi="Times New Roman" w:cs="Times New Roman"/>
          <w:sz w:val="24"/>
          <w:szCs w:val="24"/>
        </w:rPr>
        <w:t xml:space="preserve">), will take precedence over the other. The requirement for resolving a collision of principles in </w:t>
      </w:r>
      <w:proofErr w:type="spellStart"/>
      <w:r>
        <w:rPr>
          <w:rFonts w:ascii="Times New Roman" w:eastAsia="Times New Roman" w:hAnsi="Times New Roman" w:cs="Times New Roman"/>
          <w:sz w:val="24"/>
          <w:szCs w:val="24"/>
        </w:rPr>
        <w:t>concreto</w:t>
      </w:r>
      <w:proofErr w:type="spellEnd"/>
      <w:r>
        <w:rPr>
          <w:rFonts w:ascii="Times New Roman" w:eastAsia="Times New Roman" w:hAnsi="Times New Roman" w:cs="Times New Roman"/>
          <w:sz w:val="24"/>
          <w:szCs w:val="24"/>
        </w:rPr>
        <w:t xml:space="preserve"> arises from the complexity of social reality, which necessitates the assessment of the priority of one principle over another in light of a particular aspect of reality</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The precedence of principle Z</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over the competing principle Z</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under conditions W</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does not imply that weighing these principles under conditions W</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will yield the same result. Therefore, if the outcome of the weighing mechanism is influenced by the totality of factors constituting a given factual situation, it is noteworthy that the occurrence of specific circumstances may determine differences in the results of weighing compared to a hypothetically considered (model) factual situation devoid of these circumstances. Hence, the </w:t>
      </w:r>
      <w:r>
        <w:rPr>
          <w:rFonts w:ascii="Times New Roman" w:eastAsia="Times New Roman" w:hAnsi="Times New Roman" w:cs="Times New Roman"/>
          <w:sz w:val="24"/>
          <w:szCs w:val="24"/>
        </w:rPr>
        <w:lastRenderedPageBreak/>
        <w:t xml:space="preserve">ultimate determination of conditional precedence relationships should be made by authorities capable of conducting the weighing mechanism </w:t>
      </w:r>
      <w:r>
        <w:rPr>
          <w:rFonts w:ascii="Times New Roman" w:eastAsia="Times New Roman" w:hAnsi="Times New Roman" w:cs="Times New Roman"/>
          <w:i/>
          <w:sz w:val="24"/>
          <w:szCs w:val="24"/>
        </w:rPr>
        <w:t xml:space="preserve">in </w:t>
      </w:r>
      <w:proofErr w:type="spellStart"/>
      <w:r>
        <w:rPr>
          <w:rFonts w:ascii="Times New Roman" w:eastAsia="Times New Roman" w:hAnsi="Times New Roman" w:cs="Times New Roman"/>
          <w:i/>
          <w:sz w:val="24"/>
          <w:szCs w:val="24"/>
        </w:rPr>
        <w:t>concreto</w:t>
      </w:r>
      <w:proofErr w:type="spellEnd"/>
      <w:r>
        <w:rPr>
          <w:rFonts w:ascii="Times New Roman" w:eastAsia="Times New Roman" w:hAnsi="Times New Roman" w:cs="Times New Roman"/>
          <w:i/>
          <w:sz w:val="24"/>
          <w:szCs w:val="24"/>
        </w:rPr>
        <w:t xml:space="preserve"> sensu stricto</w:t>
      </w:r>
      <w:r>
        <w:rPr>
          <w:rFonts w:ascii="Times New Roman" w:eastAsia="Times New Roman" w:hAnsi="Times New Roman" w:cs="Times New Roman"/>
          <w:sz w:val="24"/>
          <w:szCs w:val="24"/>
        </w:rPr>
        <w:t>, namely the courts</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w:t>
      </w:r>
    </w:p>
    <w:p w14:paraId="0000000F" w14:textId="07F973A4" w:rsidR="003E18BF" w:rsidRDefault="00233EC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context, I disagree with the view expressed in </w:t>
      </w:r>
      <w:r w:rsidR="0006438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literature regarding the permissibility of courts independently resolving collisions of constitutional rights in the absence of legislative decisions only when the application of the weighing mechanism by the court of conflicting constitutional values ​​would give a clear and unquestionable result</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w:t>
      </w:r>
    </w:p>
    <w:p w14:paraId="00000010" w14:textId="77777777" w:rsidR="003E18BF" w:rsidRDefault="00233EC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as previously demonstrated, the application of the weighing mechanism is sometimes necessary to resolve a pending case before the court, and thus protect individual rights, </w:t>
      </w:r>
      <w:r w:rsidRPr="00ED4964">
        <w:rPr>
          <w:rFonts w:ascii="Times New Roman" w:eastAsia="Times New Roman" w:hAnsi="Times New Roman" w:cs="Times New Roman"/>
          <w:sz w:val="24"/>
          <w:szCs w:val="24"/>
        </w:rPr>
        <w:t>in such a situation,</w:t>
      </w:r>
      <w:r>
        <w:rPr>
          <w:rFonts w:ascii="Times New Roman" w:eastAsia="Times New Roman" w:hAnsi="Times New Roman" w:cs="Times New Roman"/>
          <w:sz w:val="24"/>
          <w:szCs w:val="24"/>
        </w:rPr>
        <w:t xml:space="preserve"> resolving conflicts of constitutional rights by the court is not only the prerogative of the adjudicating panel but also its duty. This obligation is not limited to situations where weighing would yield a clear and unquestionable result, which in hard cases would either lead to the impossibility of issuing a judgment due to an unfillable legal gap (legal vacuum</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or to a technical decision that does not address the essence of the matter.</w:t>
      </w:r>
    </w:p>
    <w:p w14:paraId="00000011" w14:textId="77777777" w:rsidR="003E18BF" w:rsidRDefault="00233EC6">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Thirdly, attention should be drawn to the obligations of the court when making validation decisions, namely establishing the normative state that forms the basis for the judgment issued in the case. Article 178(1) of the Constitution expresses a conjunction, meaning the judge is bound by both the Constitution and the law. This duty should be understood as the obligation to comply with the legal norms contained in these (binding) legal acts, interpreted on the basis of commonly accepted rules of interpretation of legal provisions</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The court cannot apply an unconstitutional law because, by violating the state of being bound by the constitution, it acts </w:t>
      </w:r>
      <w:r>
        <w:rPr>
          <w:rFonts w:ascii="Times New Roman" w:eastAsia="Times New Roman" w:hAnsi="Times New Roman" w:cs="Times New Roman"/>
          <w:i/>
          <w:sz w:val="24"/>
          <w:szCs w:val="24"/>
        </w:rPr>
        <w:t xml:space="preserve">contra </w:t>
      </w:r>
      <w:proofErr w:type="spellStart"/>
      <w:r>
        <w:rPr>
          <w:rFonts w:ascii="Times New Roman" w:eastAsia="Times New Roman" w:hAnsi="Times New Roman" w:cs="Times New Roman"/>
          <w:i/>
          <w:sz w:val="24"/>
          <w:szCs w:val="24"/>
        </w:rPr>
        <w:t>legem</w:t>
      </w:r>
      <w:proofErr w:type="spellEnd"/>
      <w:r>
        <w:rPr>
          <w:rFonts w:ascii="Times New Roman" w:eastAsia="Times New Roman" w:hAnsi="Times New Roman" w:cs="Times New Roman"/>
          <w:sz w:val="24"/>
          <w:szCs w:val="24"/>
        </w:rPr>
        <w:t xml:space="preserve">, and at the same time, refusing to apply the law is also </w:t>
      </w:r>
      <w:r>
        <w:rPr>
          <w:rFonts w:ascii="Times New Roman" w:eastAsia="Times New Roman" w:hAnsi="Times New Roman" w:cs="Times New Roman"/>
          <w:i/>
          <w:sz w:val="24"/>
          <w:szCs w:val="24"/>
        </w:rPr>
        <w:t xml:space="preserve">contra </w:t>
      </w:r>
      <w:proofErr w:type="spellStart"/>
      <w:r>
        <w:rPr>
          <w:rFonts w:ascii="Times New Roman" w:eastAsia="Times New Roman" w:hAnsi="Times New Roman" w:cs="Times New Roman"/>
          <w:i/>
          <w:sz w:val="24"/>
          <w:szCs w:val="24"/>
        </w:rPr>
        <w:t>legem</w:t>
      </w:r>
      <w:proofErr w:type="spellEnd"/>
      <w:r>
        <w:rPr>
          <w:rFonts w:ascii="Times New Roman" w:eastAsia="Times New Roman" w:hAnsi="Times New Roman" w:cs="Times New Roman"/>
          <w:sz w:val="24"/>
          <w:szCs w:val="24"/>
        </w:rPr>
        <w:t xml:space="preserve">. This problem can be addressed in at least two ways. The first involves presenting a legal question to the Constitutional Tribunal, which will either find no collision (no violation of the state of being bound by the constitution in the case of applying the law) or issue a derogating judgment nullifying the unconstitutional provision of the law, which will exclude the state of being bound by the law. The second method refers to the court making a negative non-derogatory validation decision, which amounts to recognizing that, according to the rule </w:t>
      </w:r>
      <w:r>
        <w:rPr>
          <w:rFonts w:ascii="Times New Roman" w:eastAsia="Times New Roman" w:hAnsi="Times New Roman" w:cs="Times New Roman"/>
          <w:i/>
          <w:sz w:val="24"/>
          <w:szCs w:val="24"/>
        </w:rPr>
        <w:lastRenderedPageBreak/>
        <w:t xml:space="preserve">lex superior </w:t>
      </w:r>
      <w:proofErr w:type="spellStart"/>
      <w:r>
        <w:rPr>
          <w:rFonts w:ascii="Times New Roman" w:eastAsia="Times New Roman" w:hAnsi="Times New Roman" w:cs="Times New Roman"/>
          <w:i/>
          <w:sz w:val="24"/>
          <w:szCs w:val="24"/>
        </w:rPr>
        <w:t>derogat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legi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inferiori</w:t>
      </w:r>
      <w:proofErr w:type="spellEnd"/>
      <w:r>
        <w:rPr>
          <w:rFonts w:ascii="Times New Roman" w:eastAsia="Times New Roman" w:hAnsi="Times New Roman" w:cs="Times New Roman"/>
          <w:sz w:val="24"/>
          <w:szCs w:val="24"/>
        </w:rPr>
        <w:t>, the unconstitutional provision of the law cannot be attributed the quality of being binding. Due to the theoretical-legal conditions of this collision rule, its scope of application is limited, particularly relating to cases of strict unconstitutionality, secondary unconstitutionality, circumvention of the constitution, and unlawful legislation</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It should also be noted that there is a qualitative difference between the state of being bound by the law and the absence of being bound by sub-statutory acts. Blurring this difference through the application of mechanisms of dispersed constitutional control by the courts would lead to unjustified interpretation </w:t>
      </w:r>
      <w:r>
        <w:rPr>
          <w:rFonts w:ascii="Times New Roman" w:eastAsia="Times New Roman" w:hAnsi="Times New Roman" w:cs="Times New Roman"/>
          <w:i/>
          <w:sz w:val="24"/>
          <w:szCs w:val="24"/>
        </w:rPr>
        <w:t>per non est</w:t>
      </w:r>
      <w:r>
        <w:rPr>
          <w:rFonts w:ascii="Times New Roman" w:eastAsia="Times New Roman" w:hAnsi="Times New Roman" w:cs="Times New Roman"/>
          <w:sz w:val="24"/>
          <w:szCs w:val="24"/>
        </w:rPr>
        <w:t>.</w:t>
      </w:r>
    </w:p>
    <w:p w14:paraId="00000012" w14:textId="06CA8F03" w:rsidR="003E18BF" w:rsidRDefault="00233EC6">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The obligation of judicial application of constitutional law arises from the normative nature of these rights and the principle of direct application of the constitution. This model is based on the dualistic protection of the constitution, requiring active application of constitutional norms by the courts in individual cases. Consequently, the courts have a duty to engage in various aspects of judicial decision-making, including the interpretation of the law, weighing conflicting principles, and establishing the normative state. Their role in the judicial process is crucial for safeguarding individual rights and ensuring that judgments comply with constitutional principles.</w:t>
      </w:r>
      <w:r w:rsidR="00DD41E7">
        <w:rPr>
          <w:rFonts w:ascii="Times New Roman" w:eastAsia="Times New Roman" w:hAnsi="Times New Roman" w:cs="Times New Roman"/>
          <w:sz w:val="24"/>
          <w:szCs w:val="24"/>
        </w:rPr>
        <w:softHyphen/>
      </w:r>
    </w:p>
    <w:sectPr w:rsidR="003E18BF">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1D8F" w14:textId="77777777" w:rsidR="00337CB8" w:rsidRDefault="00337CB8">
      <w:pPr>
        <w:spacing w:line="240" w:lineRule="auto"/>
      </w:pPr>
      <w:r>
        <w:separator/>
      </w:r>
    </w:p>
  </w:endnote>
  <w:endnote w:type="continuationSeparator" w:id="0">
    <w:p w14:paraId="146C180E" w14:textId="77777777" w:rsidR="00337CB8" w:rsidRDefault="00337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F2FA" w14:textId="77777777" w:rsidR="00337CB8" w:rsidRDefault="00337CB8">
      <w:pPr>
        <w:spacing w:line="240" w:lineRule="auto"/>
      </w:pPr>
      <w:r>
        <w:separator/>
      </w:r>
    </w:p>
  </w:footnote>
  <w:footnote w:type="continuationSeparator" w:id="0">
    <w:p w14:paraId="6F00078C" w14:textId="77777777" w:rsidR="00337CB8" w:rsidRDefault="00337CB8">
      <w:pPr>
        <w:spacing w:line="240" w:lineRule="auto"/>
      </w:pPr>
      <w:r>
        <w:continuationSeparator/>
      </w:r>
    </w:p>
  </w:footnote>
  <w:footnote w:id="1">
    <w:p w14:paraId="0000003D" w14:textId="42DBD324" w:rsidR="003E18BF" w:rsidRPr="00F539D0" w:rsidRDefault="00233EC6">
      <w:pPr>
        <w:spacing w:line="240" w:lineRule="auto"/>
        <w:jc w:val="both"/>
        <w:rPr>
          <w:rFonts w:ascii="Times New Roman" w:eastAsia="Times New Roman" w:hAnsi="Times New Roman" w:cs="Times New Roman"/>
          <w:sz w:val="20"/>
          <w:szCs w:val="20"/>
          <w:lang w:val="pl-PL"/>
        </w:rPr>
      </w:pPr>
      <w:r>
        <w:rPr>
          <w:vertAlign w:val="superscript"/>
        </w:rPr>
        <w:footnoteRef/>
      </w:r>
      <w:r w:rsidRPr="00F539D0">
        <w:rPr>
          <w:rFonts w:ascii="Times New Roman" w:eastAsia="Times New Roman" w:hAnsi="Times New Roman" w:cs="Times New Roman"/>
          <w:sz w:val="20"/>
          <w:szCs w:val="20"/>
          <w:lang w:val="pl-PL"/>
        </w:rPr>
        <w:t xml:space="preserve"> A. Zoll, </w:t>
      </w:r>
      <w:r w:rsidRPr="00F539D0">
        <w:rPr>
          <w:rFonts w:ascii="Times New Roman" w:eastAsia="Times New Roman" w:hAnsi="Times New Roman" w:cs="Times New Roman"/>
          <w:i/>
          <w:sz w:val="20"/>
          <w:szCs w:val="20"/>
          <w:lang w:val="pl-PL"/>
        </w:rPr>
        <w:t>Związanie sędziego ustawą</w:t>
      </w:r>
      <w:r w:rsidRPr="00F539D0">
        <w:rPr>
          <w:rFonts w:ascii="Times New Roman" w:eastAsia="Times New Roman" w:hAnsi="Times New Roman" w:cs="Times New Roman"/>
          <w:sz w:val="20"/>
          <w:szCs w:val="20"/>
          <w:lang w:val="pl-PL"/>
        </w:rPr>
        <w:t xml:space="preserve">, in: </w:t>
      </w:r>
      <w:r w:rsidRPr="00F539D0">
        <w:rPr>
          <w:rFonts w:ascii="Times New Roman" w:eastAsia="Times New Roman" w:hAnsi="Times New Roman" w:cs="Times New Roman"/>
          <w:i/>
          <w:sz w:val="20"/>
          <w:szCs w:val="20"/>
          <w:lang w:val="pl-PL"/>
        </w:rPr>
        <w:t>Konstytucja i gwarancje jej przestrzegania. Księga pamiątkowa ku czci Prof. Janiny Zakrzewskiej</w:t>
      </w:r>
      <w:r w:rsidR="00CE3CCE">
        <w:rPr>
          <w:rFonts w:ascii="Times New Roman" w:eastAsia="Times New Roman" w:hAnsi="Times New Roman" w:cs="Times New Roman"/>
          <w:sz w:val="20"/>
          <w:szCs w:val="20"/>
          <w:lang w:val="pl-PL"/>
        </w:rPr>
        <w:t>,</w:t>
      </w:r>
      <w:r w:rsidRPr="00F539D0">
        <w:rPr>
          <w:rFonts w:ascii="Times New Roman" w:eastAsia="Times New Roman" w:hAnsi="Times New Roman" w:cs="Times New Roman"/>
          <w:sz w:val="20"/>
          <w:szCs w:val="20"/>
          <w:lang w:val="pl-PL"/>
        </w:rPr>
        <w:t xml:space="preserve"> Warszawa 1996, p</w:t>
      </w:r>
      <w:r w:rsidR="00CE3CCE">
        <w:rPr>
          <w:rFonts w:ascii="Times New Roman" w:eastAsia="Times New Roman" w:hAnsi="Times New Roman" w:cs="Times New Roman"/>
          <w:sz w:val="20"/>
          <w:szCs w:val="20"/>
          <w:lang w:val="pl-PL"/>
        </w:rPr>
        <w:t>p</w:t>
      </w:r>
      <w:r w:rsidRPr="00F539D0">
        <w:rPr>
          <w:rFonts w:ascii="Times New Roman" w:eastAsia="Times New Roman" w:hAnsi="Times New Roman" w:cs="Times New Roman"/>
          <w:sz w:val="20"/>
          <w:szCs w:val="20"/>
          <w:lang w:val="pl-PL"/>
        </w:rPr>
        <w:t xml:space="preserve">. 241 and </w:t>
      </w:r>
      <w:proofErr w:type="spellStart"/>
      <w:r w:rsidRPr="00F539D0">
        <w:rPr>
          <w:rFonts w:ascii="Times New Roman" w:eastAsia="Times New Roman" w:hAnsi="Times New Roman" w:cs="Times New Roman"/>
          <w:sz w:val="20"/>
          <w:szCs w:val="20"/>
          <w:lang w:val="pl-PL"/>
        </w:rPr>
        <w:t>beyond</w:t>
      </w:r>
      <w:proofErr w:type="spellEnd"/>
      <w:r w:rsidRPr="00F539D0">
        <w:rPr>
          <w:rFonts w:ascii="Times New Roman" w:eastAsia="Times New Roman" w:hAnsi="Times New Roman" w:cs="Times New Roman"/>
          <w:sz w:val="20"/>
          <w:szCs w:val="20"/>
          <w:lang w:val="pl-PL"/>
        </w:rPr>
        <w:t>.</w:t>
      </w:r>
    </w:p>
  </w:footnote>
  <w:footnote w:id="2">
    <w:p w14:paraId="0000003E" w14:textId="7927EB21" w:rsidR="003E18BF" w:rsidRPr="00F539D0" w:rsidRDefault="00233EC6">
      <w:pPr>
        <w:spacing w:line="240" w:lineRule="auto"/>
        <w:jc w:val="both"/>
        <w:rPr>
          <w:rFonts w:ascii="Times New Roman" w:eastAsia="Times New Roman" w:hAnsi="Times New Roman" w:cs="Times New Roman"/>
          <w:sz w:val="20"/>
          <w:szCs w:val="20"/>
          <w:lang w:val="pl-PL"/>
        </w:rPr>
      </w:pPr>
      <w:r>
        <w:rPr>
          <w:vertAlign w:val="superscript"/>
        </w:rPr>
        <w:footnoteRef/>
      </w:r>
      <w:r w:rsidRPr="00F539D0">
        <w:rPr>
          <w:rFonts w:ascii="Times New Roman" w:eastAsia="Times New Roman" w:hAnsi="Times New Roman" w:cs="Times New Roman"/>
          <w:sz w:val="20"/>
          <w:szCs w:val="20"/>
          <w:lang w:val="pl-PL"/>
        </w:rPr>
        <w:t xml:space="preserve"> M. Zygmunt, </w:t>
      </w:r>
      <w:r w:rsidRPr="00F539D0">
        <w:rPr>
          <w:rFonts w:ascii="Times New Roman" w:eastAsia="Times New Roman" w:hAnsi="Times New Roman" w:cs="Times New Roman"/>
          <w:i/>
          <w:sz w:val="20"/>
          <w:szCs w:val="20"/>
          <w:lang w:val="pl-PL"/>
        </w:rPr>
        <w:t xml:space="preserve">Państwo demokratyczne w klauzuli </w:t>
      </w:r>
      <w:proofErr w:type="spellStart"/>
      <w:r w:rsidRPr="00F539D0">
        <w:rPr>
          <w:rFonts w:ascii="Times New Roman" w:eastAsia="Times New Roman" w:hAnsi="Times New Roman" w:cs="Times New Roman"/>
          <w:i/>
          <w:sz w:val="20"/>
          <w:szCs w:val="20"/>
          <w:lang w:val="pl-PL"/>
        </w:rPr>
        <w:t>limitacyjnej</w:t>
      </w:r>
      <w:proofErr w:type="spellEnd"/>
      <w:r w:rsidRPr="00F539D0">
        <w:rPr>
          <w:rFonts w:ascii="Times New Roman" w:eastAsia="Times New Roman" w:hAnsi="Times New Roman" w:cs="Times New Roman"/>
          <w:i/>
          <w:sz w:val="20"/>
          <w:szCs w:val="20"/>
          <w:lang w:val="pl-PL"/>
        </w:rPr>
        <w:t>. Redundancja, aksjologiczna konieczność czy praktyczna potrzeba?</w:t>
      </w:r>
      <w:r w:rsidRPr="00F539D0">
        <w:rPr>
          <w:rFonts w:ascii="Times New Roman" w:eastAsia="Times New Roman" w:hAnsi="Times New Roman" w:cs="Times New Roman"/>
          <w:sz w:val="20"/>
          <w:szCs w:val="20"/>
          <w:lang w:val="pl-PL"/>
        </w:rPr>
        <w:t xml:space="preserve">, „Przegląd Prawa Publicznego” 2023, vol. 5, p. 58; M. Gutowski, P. Kardas, </w:t>
      </w:r>
      <w:r w:rsidRPr="00F539D0">
        <w:rPr>
          <w:rFonts w:ascii="Times New Roman" w:eastAsia="Times New Roman" w:hAnsi="Times New Roman" w:cs="Times New Roman"/>
          <w:i/>
          <w:sz w:val="20"/>
          <w:szCs w:val="20"/>
          <w:lang w:val="pl-PL"/>
        </w:rPr>
        <w:t>Wykładnia i stosowanie prawa w procesie opartym na Konstytucji</w:t>
      </w:r>
      <w:r w:rsidRPr="00F539D0">
        <w:rPr>
          <w:rFonts w:ascii="Times New Roman" w:eastAsia="Times New Roman" w:hAnsi="Times New Roman" w:cs="Times New Roman"/>
          <w:sz w:val="20"/>
          <w:szCs w:val="20"/>
          <w:lang w:val="pl-PL"/>
        </w:rPr>
        <w:t xml:space="preserve">, Warszawa 2017, p. 209; P. Tuleja, </w:t>
      </w:r>
      <w:r w:rsidRPr="00F539D0">
        <w:rPr>
          <w:rFonts w:ascii="Times New Roman" w:eastAsia="Times New Roman" w:hAnsi="Times New Roman" w:cs="Times New Roman"/>
          <w:i/>
          <w:sz w:val="20"/>
          <w:szCs w:val="20"/>
          <w:lang w:val="pl-PL"/>
        </w:rPr>
        <w:t>Stosowanie Konstytucji RP w świetle zasady jej nadrzędności (wybrane problemy)</w:t>
      </w:r>
      <w:r w:rsidRPr="00F539D0">
        <w:rPr>
          <w:rFonts w:ascii="Times New Roman" w:eastAsia="Times New Roman" w:hAnsi="Times New Roman" w:cs="Times New Roman"/>
          <w:sz w:val="20"/>
          <w:szCs w:val="20"/>
          <w:lang w:val="pl-PL"/>
        </w:rPr>
        <w:t>, Kraków 2003, p</w:t>
      </w:r>
      <w:r w:rsidR="00CE3CCE">
        <w:rPr>
          <w:rFonts w:ascii="Times New Roman" w:eastAsia="Times New Roman" w:hAnsi="Times New Roman" w:cs="Times New Roman"/>
          <w:sz w:val="20"/>
          <w:szCs w:val="20"/>
          <w:lang w:val="pl-PL"/>
        </w:rPr>
        <w:t>p</w:t>
      </w:r>
      <w:r w:rsidRPr="00F539D0">
        <w:rPr>
          <w:rFonts w:ascii="Times New Roman" w:eastAsia="Times New Roman" w:hAnsi="Times New Roman" w:cs="Times New Roman"/>
          <w:sz w:val="20"/>
          <w:szCs w:val="20"/>
          <w:lang w:val="pl-PL"/>
        </w:rPr>
        <w:t>. 64-65; M. Florczak-Wątor,</w:t>
      </w:r>
      <w:r w:rsidRPr="00F539D0">
        <w:rPr>
          <w:rFonts w:ascii="Times New Roman" w:eastAsia="Times New Roman" w:hAnsi="Times New Roman" w:cs="Times New Roman"/>
          <w:i/>
          <w:sz w:val="20"/>
          <w:szCs w:val="20"/>
          <w:lang w:val="pl-PL"/>
        </w:rPr>
        <w:t xml:space="preserve"> Aksjologia Konstytucji Rzeczypospolitej Polskiej</w:t>
      </w:r>
      <w:r w:rsidRPr="00F539D0">
        <w:rPr>
          <w:rFonts w:ascii="Times New Roman" w:eastAsia="Times New Roman" w:hAnsi="Times New Roman" w:cs="Times New Roman"/>
          <w:sz w:val="20"/>
          <w:szCs w:val="20"/>
          <w:lang w:val="pl-PL"/>
        </w:rPr>
        <w:t xml:space="preserve">, in: </w:t>
      </w:r>
      <w:r w:rsidRPr="00F539D0">
        <w:rPr>
          <w:rFonts w:ascii="Times New Roman" w:eastAsia="Times New Roman" w:hAnsi="Times New Roman" w:cs="Times New Roman"/>
          <w:i/>
          <w:sz w:val="20"/>
          <w:szCs w:val="20"/>
          <w:lang w:val="pl-PL"/>
        </w:rPr>
        <w:t>Argumenty i rozumowania prawnicze w konstytucyjnym państwie prawa: komentarz</w:t>
      </w:r>
      <w:r w:rsidRPr="00F539D0">
        <w:rPr>
          <w:rFonts w:ascii="Times New Roman" w:eastAsia="Times New Roman" w:hAnsi="Times New Roman" w:cs="Times New Roman"/>
          <w:sz w:val="20"/>
          <w:szCs w:val="20"/>
          <w:lang w:val="pl-PL"/>
        </w:rPr>
        <w:t xml:space="preserve">, ed. M. Florczak-Wątor, A. Grabowski, Kraków 2021, </w:t>
      </w:r>
      <w:r w:rsidR="00CE3CCE">
        <w:rPr>
          <w:rFonts w:ascii="Times New Roman" w:eastAsia="Times New Roman" w:hAnsi="Times New Roman" w:cs="Times New Roman"/>
          <w:sz w:val="20"/>
          <w:szCs w:val="20"/>
          <w:lang w:val="pl-PL"/>
        </w:rPr>
        <w:t>p</w:t>
      </w:r>
      <w:r w:rsidRPr="00F539D0">
        <w:rPr>
          <w:rFonts w:ascii="Times New Roman" w:eastAsia="Times New Roman" w:hAnsi="Times New Roman" w:cs="Times New Roman"/>
          <w:sz w:val="20"/>
          <w:szCs w:val="20"/>
          <w:lang w:val="pl-PL"/>
        </w:rPr>
        <w:t>p. 61-89.</w:t>
      </w:r>
    </w:p>
  </w:footnote>
  <w:footnote w:id="3">
    <w:p w14:paraId="0000003F" w14:textId="6227F84A" w:rsidR="003E18BF" w:rsidRPr="00F539D0" w:rsidRDefault="00233EC6">
      <w:pPr>
        <w:spacing w:line="240" w:lineRule="auto"/>
        <w:jc w:val="both"/>
        <w:rPr>
          <w:rFonts w:ascii="Times New Roman" w:eastAsia="Times New Roman" w:hAnsi="Times New Roman" w:cs="Times New Roman"/>
          <w:sz w:val="20"/>
          <w:szCs w:val="20"/>
          <w:lang w:val="pl-PL"/>
        </w:rPr>
      </w:pPr>
      <w:r>
        <w:rPr>
          <w:vertAlign w:val="superscript"/>
        </w:rPr>
        <w:footnoteRef/>
      </w:r>
      <w:r w:rsidRPr="00F539D0">
        <w:rPr>
          <w:rFonts w:ascii="Times New Roman" w:eastAsia="Times New Roman" w:hAnsi="Times New Roman" w:cs="Times New Roman"/>
          <w:sz w:val="20"/>
          <w:szCs w:val="20"/>
          <w:lang w:val="pl-PL"/>
        </w:rPr>
        <w:t xml:space="preserve"> M. Safjan, in: </w:t>
      </w:r>
      <w:r w:rsidRPr="00F539D0">
        <w:rPr>
          <w:rFonts w:ascii="Times New Roman" w:eastAsia="Times New Roman" w:hAnsi="Times New Roman" w:cs="Times New Roman"/>
          <w:i/>
          <w:sz w:val="20"/>
          <w:szCs w:val="20"/>
          <w:lang w:val="pl-PL"/>
        </w:rPr>
        <w:t>Konstytucja RP. Tom I. Komentarz do art. 1-86</w:t>
      </w:r>
      <w:r w:rsidRPr="00F539D0">
        <w:rPr>
          <w:rFonts w:ascii="Times New Roman" w:eastAsia="Times New Roman" w:hAnsi="Times New Roman" w:cs="Times New Roman"/>
          <w:sz w:val="20"/>
          <w:szCs w:val="20"/>
          <w:lang w:val="pl-PL"/>
        </w:rPr>
        <w:t xml:space="preserve">, </w:t>
      </w:r>
      <w:proofErr w:type="spellStart"/>
      <w:r w:rsidRPr="00F539D0">
        <w:rPr>
          <w:rFonts w:ascii="Times New Roman" w:eastAsia="Times New Roman" w:hAnsi="Times New Roman" w:cs="Times New Roman"/>
          <w:sz w:val="20"/>
          <w:szCs w:val="20"/>
          <w:lang w:val="pl-PL"/>
        </w:rPr>
        <w:t>ed</w:t>
      </w:r>
      <w:r w:rsidR="00CE3CCE">
        <w:rPr>
          <w:rFonts w:ascii="Times New Roman" w:eastAsia="Times New Roman" w:hAnsi="Times New Roman" w:cs="Times New Roman"/>
          <w:sz w:val="20"/>
          <w:szCs w:val="20"/>
          <w:lang w:val="pl-PL"/>
        </w:rPr>
        <w:t>s</w:t>
      </w:r>
      <w:proofErr w:type="spellEnd"/>
      <w:r w:rsidRPr="00F539D0">
        <w:rPr>
          <w:rFonts w:ascii="Times New Roman" w:eastAsia="Times New Roman" w:hAnsi="Times New Roman" w:cs="Times New Roman"/>
          <w:sz w:val="20"/>
          <w:szCs w:val="20"/>
          <w:lang w:val="pl-PL"/>
        </w:rPr>
        <w:t xml:space="preserve">. M. Safjan, L. </w:t>
      </w:r>
      <w:proofErr w:type="spellStart"/>
      <w:r w:rsidRPr="00F539D0">
        <w:rPr>
          <w:rFonts w:ascii="Times New Roman" w:eastAsia="Times New Roman" w:hAnsi="Times New Roman" w:cs="Times New Roman"/>
          <w:sz w:val="20"/>
          <w:szCs w:val="20"/>
          <w:lang w:val="pl-PL"/>
        </w:rPr>
        <w:t>Bosek</w:t>
      </w:r>
      <w:proofErr w:type="spellEnd"/>
      <w:r w:rsidRPr="00F539D0">
        <w:rPr>
          <w:rFonts w:ascii="Times New Roman" w:eastAsia="Times New Roman" w:hAnsi="Times New Roman" w:cs="Times New Roman"/>
          <w:sz w:val="20"/>
          <w:szCs w:val="20"/>
          <w:lang w:val="pl-PL"/>
        </w:rPr>
        <w:t xml:space="preserve">, Warszawa 2016, </w:t>
      </w:r>
      <w:proofErr w:type="spellStart"/>
      <w:r w:rsidRPr="00F539D0">
        <w:rPr>
          <w:rFonts w:ascii="Times New Roman" w:eastAsia="Times New Roman" w:hAnsi="Times New Roman" w:cs="Times New Roman"/>
          <w:sz w:val="20"/>
          <w:szCs w:val="20"/>
          <w:lang w:val="pl-PL"/>
        </w:rPr>
        <w:t>Legalis</w:t>
      </w:r>
      <w:proofErr w:type="spellEnd"/>
      <w:r w:rsidRPr="00F539D0">
        <w:rPr>
          <w:rFonts w:ascii="Times New Roman" w:eastAsia="Times New Roman" w:hAnsi="Times New Roman" w:cs="Times New Roman"/>
          <w:sz w:val="20"/>
          <w:szCs w:val="20"/>
          <w:lang w:val="pl-PL"/>
        </w:rPr>
        <w:t xml:space="preserve">; A. Grabowski, </w:t>
      </w:r>
      <w:proofErr w:type="spellStart"/>
      <w:r w:rsidRPr="00F539D0">
        <w:rPr>
          <w:rFonts w:ascii="Times New Roman" w:eastAsia="Times New Roman" w:hAnsi="Times New Roman" w:cs="Times New Roman"/>
          <w:i/>
          <w:sz w:val="20"/>
          <w:szCs w:val="20"/>
          <w:lang w:val="pl-PL"/>
        </w:rPr>
        <w:t>Postpozytywizm</w:t>
      </w:r>
      <w:proofErr w:type="spellEnd"/>
      <w:r w:rsidRPr="00F539D0">
        <w:rPr>
          <w:rFonts w:ascii="Times New Roman" w:eastAsia="Times New Roman" w:hAnsi="Times New Roman" w:cs="Times New Roman"/>
          <w:i/>
          <w:sz w:val="20"/>
          <w:szCs w:val="20"/>
          <w:lang w:val="pl-PL"/>
        </w:rPr>
        <w:t xml:space="preserve"> prawniczy: teoria prawa między pozytywizmem a prawem natury</w:t>
      </w:r>
      <w:r w:rsidRPr="00F539D0">
        <w:rPr>
          <w:rFonts w:ascii="Times New Roman" w:eastAsia="Times New Roman" w:hAnsi="Times New Roman" w:cs="Times New Roman"/>
          <w:sz w:val="20"/>
          <w:szCs w:val="20"/>
          <w:lang w:val="pl-PL"/>
        </w:rPr>
        <w:t xml:space="preserve">, in: </w:t>
      </w:r>
      <w:r w:rsidRPr="00F539D0">
        <w:rPr>
          <w:rFonts w:ascii="Times New Roman" w:eastAsia="Times New Roman" w:hAnsi="Times New Roman" w:cs="Times New Roman"/>
          <w:i/>
          <w:sz w:val="20"/>
          <w:szCs w:val="20"/>
          <w:lang w:val="pl-PL"/>
        </w:rPr>
        <w:t>Metodologiczne dychotomie. Krytyka pozytywistycznych teorii prawa</w:t>
      </w:r>
      <w:r w:rsidRPr="00F539D0">
        <w:rPr>
          <w:rFonts w:ascii="Times New Roman" w:eastAsia="Times New Roman" w:hAnsi="Times New Roman" w:cs="Times New Roman"/>
          <w:sz w:val="20"/>
          <w:szCs w:val="20"/>
          <w:lang w:val="pl-PL"/>
        </w:rPr>
        <w:t xml:space="preserve">, </w:t>
      </w:r>
      <w:proofErr w:type="spellStart"/>
      <w:r w:rsidRPr="00F539D0">
        <w:rPr>
          <w:rFonts w:ascii="Times New Roman" w:eastAsia="Times New Roman" w:hAnsi="Times New Roman" w:cs="Times New Roman"/>
          <w:sz w:val="20"/>
          <w:szCs w:val="20"/>
          <w:lang w:val="pl-PL"/>
        </w:rPr>
        <w:t>ed</w:t>
      </w:r>
      <w:r w:rsidR="00CE3CCE">
        <w:rPr>
          <w:rFonts w:ascii="Times New Roman" w:eastAsia="Times New Roman" w:hAnsi="Times New Roman" w:cs="Times New Roman"/>
          <w:sz w:val="20"/>
          <w:szCs w:val="20"/>
          <w:lang w:val="pl-PL"/>
        </w:rPr>
        <w:t>s</w:t>
      </w:r>
      <w:proofErr w:type="spellEnd"/>
      <w:r w:rsidRPr="00F539D0">
        <w:rPr>
          <w:rFonts w:ascii="Times New Roman" w:eastAsia="Times New Roman" w:hAnsi="Times New Roman" w:cs="Times New Roman"/>
          <w:sz w:val="20"/>
          <w:szCs w:val="20"/>
          <w:lang w:val="pl-PL"/>
        </w:rPr>
        <w:t xml:space="preserve">. T. </w:t>
      </w:r>
      <w:proofErr w:type="spellStart"/>
      <w:r w:rsidRPr="00F539D0">
        <w:rPr>
          <w:rFonts w:ascii="Times New Roman" w:eastAsia="Times New Roman" w:hAnsi="Times New Roman" w:cs="Times New Roman"/>
          <w:sz w:val="20"/>
          <w:szCs w:val="20"/>
          <w:lang w:val="pl-PL"/>
        </w:rPr>
        <w:t>Gizbert</w:t>
      </w:r>
      <w:proofErr w:type="spellEnd"/>
      <w:r w:rsidRPr="00F539D0">
        <w:rPr>
          <w:rFonts w:ascii="Times New Roman" w:eastAsia="Times New Roman" w:hAnsi="Times New Roman" w:cs="Times New Roman"/>
          <w:sz w:val="20"/>
          <w:szCs w:val="20"/>
          <w:lang w:val="pl-PL"/>
        </w:rPr>
        <w:t>-Studnicki, A. Dyrda, A. Grabowski, Warszawa 2016, p. 412.</w:t>
      </w:r>
    </w:p>
  </w:footnote>
  <w:footnote w:id="4">
    <w:p w14:paraId="00000044" w14:textId="063FF069" w:rsidR="003E18BF" w:rsidRDefault="00233EC6">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Constitution of the Republic of Poland of </w:t>
      </w:r>
      <w:r w:rsidR="00CE3CCE">
        <w:rPr>
          <w:rFonts w:ascii="Times New Roman" w:eastAsia="Times New Roman" w:hAnsi="Times New Roman" w:cs="Times New Roman"/>
          <w:sz w:val="20"/>
          <w:szCs w:val="20"/>
        </w:rPr>
        <w:t xml:space="preserve">2 April </w:t>
      </w:r>
      <w:r>
        <w:rPr>
          <w:rFonts w:ascii="Times New Roman" w:eastAsia="Times New Roman" w:hAnsi="Times New Roman" w:cs="Times New Roman"/>
          <w:sz w:val="20"/>
          <w:szCs w:val="20"/>
        </w:rPr>
        <w:t xml:space="preserve">1997 as published in </w:t>
      </w:r>
      <w:proofErr w:type="spellStart"/>
      <w:r>
        <w:rPr>
          <w:rFonts w:ascii="Times New Roman" w:eastAsia="Times New Roman" w:hAnsi="Times New Roman" w:cs="Times New Roman"/>
          <w:sz w:val="20"/>
          <w:szCs w:val="20"/>
        </w:rPr>
        <w:t>Dziennik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Ustaw</w:t>
      </w:r>
      <w:proofErr w:type="spellEnd"/>
      <w:r>
        <w:rPr>
          <w:rFonts w:ascii="Times New Roman" w:eastAsia="Times New Roman" w:hAnsi="Times New Roman" w:cs="Times New Roman"/>
          <w:sz w:val="20"/>
          <w:szCs w:val="20"/>
        </w:rPr>
        <w:t xml:space="preserve"> No. 78, item 483.</w:t>
      </w:r>
    </w:p>
  </w:footnote>
  <w:footnote w:id="5">
    <w:p w14:paraId="00000040" w14:textId="77777777" w:rsidR="003E18BF" w:rsidRPr="00F539D0" w:rsidRDefault="00233EC6">
      <w:pPr>
        <w:spacing w:line="240" w:lineRule="auto"/>
        <w:jc w:val="both"/>
        <w:rPr>
          <w:rFonts w:ascii="Times New Roman" w:eastAsia="Times New Roman" w:hAnsi="Times New Roman" w:cs="Times New Roman"/>
          <w:sz w:val="20"/>
          <w:szCs w:val="20"/>
          <w:lang w:val="pl-PL"/>
        </w:rPr>
      </w:pPr>
      <w:r>
        <w:rPr>
          <w:vertAlign w:val="superscript"/>
        </w:rPr>
        <w:footnoteRef/>
      </w:r>
      <w:r>
        <w:rPr>
          <w:rFonts w:ascii="Times New Roman" w:eastAsia="Times New Roman" w:hAnsi="Times New Roman" w:cs="Times New Roman"/>
          <w:sz w:val="20"/>
          <w:szCs w:val="20"/>
        </w:rPr>
        <w:t xml:space="preserve"> rulings and decisions of the Constitutional Tribunal: ruling dated June 9, 1998, case no. K 28/97; ruling dated May 13, 2002, case no. SK 32/01; ruling dated November 8, 2001, case no. P 6/01; ruling dated April 20, 2017, case no. K 10/15; ruling dated October 24, 2007, case no. SK 7/06; decision of the Constitutional Tribunal dated December 15, 2008, case no. </w:t>
      </w:r>
      <w:r w:rsidRPr="00F539D0">
        <w:rPr>
          <w:rFonts w:ascii="Times New Roman" w:eastAsia="Times New Roman" w:hAnsi="Times New Roman" w:cs="Times New Roman"/>
          <w:sz w:val="20"/>
          <w:szCs w:val="20"/>
          <w:lang w:val="pl-PL"/>
        </w:rPr>
        <w:t>SK 84/06.</w:t>
      </w:r>
    </w:p>
  </w:footnote>
  <w:footnote w:id="6">
    <w:p w14:paraId="00000041" w14:textId="77777777" w:rsidR="003E18BF" w:rsidRPr="00F539D0" w:rsidRDefault="00233EC6">
      <w:pPr>
        <w:spacing w:line="240" w:lineRule="auto"/>
        <w:jc w:val="both"/>
        <w:rPr>
          <w:rFonts w:ascii="Times New Roman" w:eastAsia="Times New Roman" w:hAnsi="Times New Roman" w:cs="Times New Roman"/>
          <w:sz w:val="20"/>
          <w:szCs w:val="20"/>
          <w:lang w:val="pl-PL"/>
        </w:rPr>
      </w:pPr>
      <w:r>
        <w:rPr>
          <w:vertAlign w:val="superscript"/>
        </w:rPr>
        <w:footnoteRef/>
      </w:r>
      <w:r w:rsidRPr="00F539D0">
        <w:rPr>
          <w:rFonts w:ascii="Times New Roman" w:eastAsia="Times New Roman" w:hAnsi="Times New Roman" w:cs="Times New Roman"/>
          <w:sz w:val="20"/>
          <w:szCs w:val="20"/>
          <w:lang w:val="pl-PL"/>
        </w:rPr>
        <w:t xml:space="preserve"> P. Tuleja, </w:t>
      </w:r>
      <w:r w:rsidRPr="00F539D0">
        <w:rPr>
          <w:rFonts w:ascii="Times New Roman" w:eastAsia="Times New Roman" w:hAnsi="Times New Roman" w:cs="Times New Roman"/>
          <w:i/>
          <w:sz w:val="20"/>
          <w:szCs w:val="20"/>
          <w:lang w:val="pl-PL"/>
        </w:rPr>
        <w:t>Sądowa wykładnia prawa jako podstawa hierarchicznej kontroli norm</w:t>
      </w:r>
      <w:r w:rsidRPr="00F539D0">
        <w:rPr>
          <w:rFonts w:ascii="Times New Roman" w:eastAsia="Times New Roman" w:hAnsi="Times New Roman" w:cs="Times New Roman"/>
          <w:sz w:val="20"/>
          <w:szCs w:val="20"/>
          <w:lang w:val="pl-PL"/>
        </w:rPr>
        <w:t xml:space="preserve">, in: </w:t>
      </w:r>
      <w:r w:rsidRPr="00F539D0">
        <w:rPr>
          <w:rFonts w:ascii="Times New Roman" w:eastAsia="Times New Roman" w:hAnsi="Times New Roman" w:cs="Times New Roman"/>
          <w:i/>
          <w:sz w:val="20"/>
          <w:szCs w:val="20"/>
          <w:lang w:val="pl-PL"/>
        </w:rPr>
        <w:t>Kontrola konstytucyjności prawa a stosowanie prawa w orzecznictwie Trybunału Konstytucyjnego, Sądu Najwyższego i Naczelnego Sądu Administracyjnego</w:t>
      </w:r>
      <w:r w:rsidRPr="00F539D0">
        <w:rPr>
          <w:rFonts w:ascii="Times New Roman" w:eastAsia="Times New Roman" w:hAnsi="Times New Roman" w:cs="Times New Roman"/>
          <w:sz w:val="20"/>
          <w:szCs w:val="20"/>
          <w:lang w:val="pl-PL"/>
        </w:rPr>
        <w:t xml:space="preserve">, ed. J. Królikowski, J. </w:t>
      </w:r>
      <w:proofErr w:type="spellStart"/>
      <w:r w:rsidRPr="00F539D0">
        <w:rPr>
          <w:rFonts w:ascii="Times New Roman" w:eastAsia="Times New Roman" w:hAnsi="Times New Roman" w:cs="Times New Roman"/>
          <w:sz w:val="20"/>
          <w:szCs w:val="20"/>
          <w:lang w:val="pl-PL"/>
        </w:rPr>
        <w:t>Podkowik</w:t>
      </w:r>
      <w:proofErr w:type="spellEnd"/>
      <w:r w:rsidRPr="00F539D0">
        <w:rPr>
          <w:rFonts w:ascii="Times New Roman" w:eastAsia="Times New Roman" w:hAnsi="Times New Roman" w:cs="Times New Roman"/>
          <w:sz w:val="20"/>
          <w:szCs w:val="20"/>
          <w:lang w:val="pl-PL"/>
        </w:rPr>
        <w:t>, J. Sułkowski, Warszawa 2017, p. 56.</w:t>
      </w:r>
    </w:p>
  </w:footnote>
  <w:footnote w:id="7">
    <w:p w14:paraId="00000042" w14:textId="77777777" w:rsidR="003E18BF" w:rsidRPr="00F539D0" w:rsidRDefault="00233EC6">
      <w:pPr>
        <w:spacing w:line="240" w:lineRule="auto"/>
        <w:jc w:val="both"/>
        <w:rPr>
          <w:rFonts w:ascii="Times New Roman" w:eastAsia="Times New Roman" w:hAnsi="Times New Roman" w:cs="Times New Roman"/>
          <w:sz w:val="20"/>
          <w:szCs w:val="20"/>
          <w:lang w:val="pl-PL"/>
        </w:rPr>
      </w:pPr>
      <w:r>
        <w:rPr>
          <w:vertAlign w:val="superscript"/>
        </w:rPr>
        <w:footnoteRef/>
      </w:r>
      <w:r w:rsidRPr="00F539D0">
        <w:rPr>
          <w:rFonts w:ascii="Times New Roman" w:eastAsia="Times New Roman" w:hAnsi="Times New Roman" w:cs="Times New Roman"/>
          <w:sz w:val="20"/>
          <w:szCs w:val="20"/>
          <w:lang w:val="pl-PL"/>
        </w:rPr>
        <w:t xml:space="preserve"> P. Tuleja, </w:t>
      </w:r>
      <w:r w:rsidRPr="00F539D0">
        <w:rPr>
          <w:rFonts w:ascii="Times New Roman" w:eastAsia="Times New Roman" w:hAnsi="Times New Roman" w:cs="Times New Roman"/>
          <w:i/>
          <w:sz w:val="20"/>
          <w:szCs w:val="20"/>
          <w:lang w:val="pl-PL"/>
        </w:rPr>
        <w:t>Stosowanie Konstytucji RP…</w:t>
      </w:r>
      <w:r w:rsidRPr="00F539D0">
        <w:rPr>
          <w:rFonts w:ascii="Times New Roman" w:eastAsia="Times New Roman" w:hAnsi="Times New Roman" w:cs="Times New Roman"/>
          <w:sz w:val="20"/>
          <w:szCs w:val="20"/>
          <w:lang w:val="pl-PL"/>
        </w:rPr>
        <w:t>, p. 375.</w:t>
      </w:r>
    </w:p>
  </w:footnote>
  <w:footnote w:id="8">
    <w:p w14:paraId="00000043" w14:textId="32F148A5" w:rsidR="003E18BF" w:rsidRPr="00F539D0" w:rsidRDefault="00233EC6">
      <w:pPr>
        <w:spacing w:line="240" w:lineRule="auto"/>
        <w:rPr>
          <w:rFonts w:ascii="Times New Roman" w:eastAsia="Times New Roman" w:hAnsi="Times New Roman" w:cs="Times New Roman"/>
          <w:sz w:val="20"/>
          <w:szCs w:val="20"/>
          <w:lang w:val="pl-PL"/>
        </w:rPr>
      </w:pPr>
      <w:r>
        <w:rPr>
          <w:vertAlign w:val="superscript"/>
        </w:rPr>
        <w:footnoteRef/>
      </w:r>
      <w:r w:rsidRPr="00F539D0">
        <w:rPr>
          <w:rFonts w:ascii="Times New Roman" w:eastAsia="Times New Roman" w:hAnsi="Times New Roman" w:cs="Times New Roman"/>
          <w:sz w:val="20"/>
          <w:szCs w:val="20"/>
          <w:lang w:val="pl-PL"/>
        </w:rPr>
        <w:t xml:space="preserve"> P. </w:t>
      </w:r>
      <w:r w:rsidRPr="00ED4964">
        <w:rPr>
          <w:rFonts w:ascii="Times New Roman" w:eastAsia="Times New Roman" w:hAnsi="Times New Roman" w:cs="Times New Roman"/>
          <w:sz w:val="20"/>
          <w:szCs w:val="20"/>
          <w:lang w:val="pl-PL"/>
        </w:rPr>
        <w:t>Tuleja [</w:t>
      </w:r>
      <w:r w:rsidR="00ED4964" w:rsidRPr="00ED4964">
        <w:rPr>
          <w:rFonts w:ascii="Times New Roman" w:eastAsia="Times New Roman" w:hAnsi="Times New Roman" w:cs="Times New Roman"/>
          <w:sz w:val="20"/>
          <w:szCs w:val="20"/>
          <w:lang w:val="pl-PL"/>
        </w:rPr>
        <w:t>in</w:t>
      </w:r>
      <w:r w:rsidRPr="00ED4964">
        <w:rPr>
          <w:rFonts w:ascii="Times New Roman" w:eastAsia="Times New Roman" w:hAnsi="Times New Roman" w:cs="Times New Roman"/>
          <w:sz w:val="20"/>
          <w:szCs w:val="20"/>
          <w:lang w:val="pl-PL"/>
        </w:rPr>
        <w:t>:]</w:t>
      </w:r>
      <w:r w:rsidRPr="00F539D0">
        <w:rPr>
          <w:rFonts w:ascii="Times New Roman" w:eastAsia="Times New Roman" w:hAnsi="Times New Roman" w:cs="Times New Roman"/>
          <w:sz w:val="20"/>
          <w:szCs w:val="20"/>
          <w:lang w:val="pl-PL"/>
        </w:rPr>
        <w:t xml:space="preserve"> </w:t>
      </w:r>
      <w:r w:rsidRPr="00F539D0">
        <w:rPr>
          <w:rFonts w:ascii="Times New Roman" w:eastAsia="Times New Roman" w:hAnsi="Times New Roman" w:cs="Times New Roman"/>
          <w:i/>
          <w:sz w:val="20"/>
          <w:szCs w:val="20"/>
          <w:lang w:val="pl-PL"/>
        </w:rPr>
        <w:t>Konstytucja RP. Tom I…</w:t>
      </w:r>
      <w:r w:rsidRPr="00F539D0">
        <w:rPr>
          <w:rFonts w:ascii="Times New Roman" w:eastAsia="Times New Roman" w:hAnsi="Times New Roman" w:cs="Times New Roman"/>
          <w:sz w:val="20"/>
          <w:szCs w:val="20"/>
          <w:lang w:val="pl-PL"/>
        </w:rPr>
        <w:t xml:space="preserve">, </w:t>
      </w:r>
      <w:proofErr w:type="spellStart"/>
      <w:r w:rsidR="00ED4964">
        <w:rPr>
          <w:rFonts w:ascii="Times New Roman" w:eastAsia="Times New Roman" w:hAnsi="Times New Roman" w:cs="Times New Roman"/>
          <w:sz w:val="20"/>
          <w:szCs w:val="20"/>
          <w:lang w:val="pl-PL"/>
        </w:rPr>
        <w:t>ed</w:t>
      </w:r>
      <w:r w:rsidR="00CE3CCE">
        <w:rPr>
          <w:rFonts w:ascii="Times New Roman" w:eastAsia="Times New Roman" w:hAnsi="Times New Roman" w:cs="Times New Roman"/>
          <w:sz w:val="20"/>
          <w:szCs w:val="20"/>
          <w:lang w:val="pl-PL"/>
        </w:rPr>
        <w:t>s</w:t>
      </w:r>
      <w:proofErr w:type="spellEnd"/>
      <w:r w:rsidRPr="00F539D0">
        <w:rPr>
          <w:rFonts w:ascii="Times New Roman" w:eastAsia="Times New Roman" w:hAnsi="Times New Roman" w:cs="Times New Roman"/>
          <w:sz w:val="20"/>
          <w:szCs w:val="20"/>
          <w:lang w:val="pl-PL"/>
        </w:rPr>
        <w:t xml:space="preserve">. M. Safjan, L. </w:t>
      </w:r>
      <w:proofErr w:type="spellStart"/>
      <w:r w:rsidRPr="00F539D0">
        <w:rPr>
          <w:rFonts w:ascii="Times New Roman" w:eastAsia="Times New Roman" w:hAnsi="Times New Roman" w:cs="Times New Roman"/>
          <w:sz w:val="20"/>
          <w:szCs w:val="20"/>
          <w:lang w:val="pl-PL"/>
        </w:rPr>
        <w:t>Bosek</w:t>
      </w:r>
      <w:proofErr w:type="spellEnd"/>
      <w:r w:rsidRPr="00F539D0">
        <w:rPr>
          <w:rFonts w:ascii="Times New Roman" w:eastAsia="Times New Roman" w:hAnsi="Times New Roman" w:cs="Times New Roman"/>
          <w:sz w:val="20"/>
          <w:szCs w:val="20"/>
          <w:lang w:val="pl-PL"/>
        </w:rPr>
        <w:t xml:space="preserve">, art. 8, </w:t>
      </w:r>
      <w:proofErr w:type="spellStart"/>
      <w:r w:rsidR="00ED4964">
        <w:rPr>
          <w:rFonts w:ascii="Times New Roman" w:eastAsia="Times New Roman" w:hAnsi="Times New Roman" w:cs="Times New Roman"/>
          <w:sz w:val="20"/>
          <w:szCs w:val="20"/>
          <w:lang w:val="pl-PL"/>
        </w:rPr>
        <w:t>bn</w:t>
      </w:r>
      <w:proofErr w:type="spellEnd"/>
      <w:r w:rsidRPr="00F539D0">
        <w:rPr>
          <w:rFonts w:ascii="Times New Roman" w:eastAsia="Times New Roman" w:hAnsi="Times New Roman" w:cs="Times New Roman"/>
          <w:sz w:val="20"/>
          <w:szCs w:val="20"/>
          <w:lang w:val="pl-PL"/>
        </w:rPr>
        <w:t xml:space="preserve"> 33, Warszawa 2016</w:t>
      </w:r>
      <w:r w:rsidR="00BE7C6D">
        <w:rPr>
          <w:rFonts w:ascii="Times New Roman" w:eastAsia="Times New Roman" w:hAnsi="Times New Roman" w:cs="Times New Roman"/>
          <w:sz w:val="20"/>
          <w:szCs w:val="20"/>
          <w:lang w:val="pl-PL"/>
        </w:rPr>
        <w:t>.</w:t>
      </w:r>
    </w:p>
  </w:footnote>
  <w:footnote w:id="9">
    <w:p w14:paraId="00000053" w14:textId="77777777" w:rsidR="003E18BF" w:rsidRPr="00F539D0" w:rsidRDefault="00233EC6">
      <w:pPr>
        <w:spacing w:line="240" w:lineRule="auto"/>
        <w:rPr>
          <w:rFonts w:ascii="Times New Roman" w:eastAsia="Times New Roman" w:hAnsi="Times New Roman" w:cs="Times New Roman"/>
          <w:sz w:val="20"/>
          <w:szCs w:val="20"/>
          <w:lang w:val="pl-PL"/>
        </w:rPr>
      </w:pPr>
      <w:r>
        <w:rPr>
          <w:vertAlign w:val="superscript"/>
        </w:rPr>
        <w:footnoteRef/>
      </w:r>
      <w:r w:rsidRPr="00F539D0">
        <w:rPr>
          <w:rFonts w:ascii="Times New Roman" w:eastAsia="Times New Roman" w:hAnsi="Times New Roman" w:cs="Times New Roman"/>
          <w:sz w:val="20"/>
          <w:szCs w:val="20"/>
          <w:lang w:val="pl-PL"/>
        </w:rPr>
        <w:t xml:space="preserve"> M. Gutowski, P. Kardas, </w:t>
      </w:r>
      <w:r w:rsidRPr="00F539D0">
        <w:rPr>
          <w:rFonts w:ascii="Times New Roman" w:eastAsia="Times New Roman" w:hAnsi="Times New Roman" w:cs="Times New Roman"/>
          <w:i/>
          <w:sz w:val="20"/>
          <w:szCs w:val="20"/>
          <w:lang w:val="pl-PL"/>
        </w:rPr>
        <w:t>Wykładnia i stosowanie prawa…</w:t>
      </w:r>
      <w:r w:rsidRPr="00F539D0">
        <w:rPr>
          <w:rFonts w:ascii="Times New Roman" w:eastAsia="Times New Roman" w:hAnsi="Times New Roman" w:cs="Times New Roman"/>
          <w:sz w:val="20"/>
          <w:szCs w:val="20"/>
          <w:lang w:val="pl-PL"/>
        </w:rPr>
        <w:t>, p. 210.</w:t>
      </w:r>
    </w:p>
  </w:footnote>
  <w:footnote w:id="10">
    <w:p w14:paraId="00000045" w14:textId="77777777" w:rsidR="003E18BF" w:rsidRPr="00F539D0" w:rsidRDefault="00233EC6">
      <w:pPr>
        <w:spacing w:line="240" w:lineRule="auto"/>
        <w:jc w:val="both"/>
        <w:rPr>
          <w:rFonts w:ascii="Times New Roman" w:eastAsia="Times New Roman" w:hAnsi="Times New Roman" w:cs="Times New Roman"/>
          <w:sz w:val="20"/>
          <w:szCs w:val="20"/>
          <w:lang w:val="pl-PL"/>
        </w:rPr>
      </w:pPr>
      <w:r>
        <w:rPr>
          <w:vertAlign w:val="superscript"/>
        </w:rPr>
        <w:footnoteRef/>
      </w:r>
      <w:r>
        <w:rPr>
          <w:rFonts w:ascii="Times New Roman" w:eastAsia="Times New Roman" w:hAnsi="Times New Roman" w:cs="Times New Roman"/>
          <w:sz w:val="20"/>
          <w:szCs w:val="20"/>
        </w:rPr>
        <w:t xml:space="preserve"> Judgment of the Provincial Administrative Court in </w:t>
      </w:r>
      <w:proofErr w:type="spellStart"/>
      <w:r>
        <w:rPr>
          <w:rFonts w:ascii="Times New Roman" w:eastAsia="Times New Roman" w:hAnsi="Times New Roman" w:cs="Times New Roman"/>
          <w:sz w:val="20"/>
          <w:szCs w:val="20"/>
        </w:rPr>
        <w:t>Poznań</w:t>
      </w:r>
      <w:proofErr w:type="spellEnd"/>
      <w:r>
        <w:rPr>
          <w:rFonts w:ascii="Times New Roman" w:eastAsia="Times New Roman" w:hAnsi="Times New Roman" w:cs="Times New Roman"/>
          <w:sz w:val="20"/>
          <w:szCs w:val="20"/>
        </w:rPr>
        <w:t xml:space="preserve"> dated November 22, 2007, case no. </w:t>
      </w:r>
      <w:r w:rsidRPr="00F539D0">
        <w:rPr>
          <w:rFonts w:ascii="Times New Roman" w:eastAsia="Times New Roman" w:hAnsi="Times New Roman" w:cs="Times New Roman"/>
          <w:sz w:val="20"/>
          <w:szCs w:val="20"/>
          <w:lang w:val="pl-PL"/>
        </w:rPr>
        <w:t>IV SA/PO 391/07.</w:t>
      </w:r>
    </w:p>
  </w:footnote>
  <w:footnote w:id="11">
    <w:p w14:paraId="00000046" w14:textId="77777777" w:rsidR="003E18BF" w:rsidRPr="00F539D0" w:rsidRDefault="00233EC6">
      <w:pPr>
        <w:spacing w:line="240" w:lineRule="auto"/>
        <w:rPr>
          <w:rFonts w:ascii="Times New Roman" w:eastAsia="Times New Roman" w:hAnsi="Times New Roman" w:cs="Times New Roman"/>
          <w:sz w:val="20"/>
          <w:szCs w:val="20"/>
          <w:lang w:val="pl-PL"/>
        </w:rPr>
      </w:pPr>
      <w:r>
        <w:rPr>
          <w:vertAlign w:val="superscript"/>
        </w:rPr>
        <w:footnoteRef/>
      </w:r>
      <w:r w:rsidRPr="00F539D0">
        <w:rPr>
          <w:rFonts w:ascii="Times New Roman" w:eastAsia="Times New Roman" w:hAnsi="Times New Roman" w:cs="Times New Roman"/>
          <w:sz w:val="20"/>
          <w:szCs w:val="20"/>
          <w:lang w:val="pl-PL"/>
        </w:rPr>
        <w:t xml:space="preserve"> P. Tuleja </w:t>
      </w:r>
      <w:proofErr w:type="spellStart"/>
      <w:r w:rsidRPr="00F539D0">
        <w:rPr>
          <w:rFonts w:ascii="Times New Roman" w:eastAsia="Times New Roman" w:hAnsi="Times New Roman" w:cs="Times New Roman"/>
          <w:sz w:val="20"/>
          <w:szCs w:val="20"/>
          <w:lang w:val="pl-PL"/>
        </w:rPr>
        <w:t>presents</w:t>
      </w:r>
      <w:proofErr w:type="spellEnd"/>
      <w:r w:rsidRPr="00F539D0">
        <w:rPr>
          <w:rFonts w:ascii="Times New Roman" w:eastAsia="Times New Roman" w:hAnsi="Times New Roman" w:cs="Times New Roman"/>
          <w:sz w:val="20"/>
          <w:szCs w:val="20"/>
          <w:lang w:val="pl-PL"/>
        </w:rPr>
        <w:t xml:space="preserve"> a </w:t>
      </w:r>
      <w:proofErr w:type="spellStart"/>
      <w:r w:rsidRPr="00F539D0">
        <w:rPr>
          <w:rFonts w:ascii="Times New Roman" w:eastAsia="Times New Roman" w:hAnsi="Times New Roman" w:cs="Times New Roman"/>
          <w:sz w:val="20"/>
          <w:szCs w:val="20"/>
          <w:lang w:val="pl-PL"/>
        </w:rPr>
        <w:t>contrary</w:t>
      </w:r>
      <w:proofErr w:type="spellEnd"/>
      <w:r w:rsidRPr="00F539D0">
        <w:rPr>
          <w:rFonts w:ascii="Times New Roman" w:eastAsia="Times New Roman" w:hAnsi="Times New Roman" w:cs="Times New Roman"/>
          <w:sz w:val="20"/>
          <w:szCs w:val="20"/>
          <w:lang w:val="pl-PL"/>
        </w:rPr>
        <w:t xml:space="preserve"> </w:t>
      </w:r>
      <w:proofErr w:type="spellStart"/>
      <w:r w:rsidRPr="00F539D0">
        <w:rPr>
          <w:rFonts w:ascii="Times New Roman" w:eastAsia="Times New Roman" w:hAnsi="Times New Roman" w:cs="Times New Roman"/>
          <w:sz w:val="20"/>
          <w:szCs w:val="20"/>
          <w:lang w:val="pl-PL"/>
        </w:rPr>
        <w:t>view</w:t>
      </w:r>
      <w:proofErr w:type="spellEnd"/>
      <w:r w:rsidRPr="00F539D0">
        <w:rPr>
          <w:rFonts w:ascii="Times New Roman" w:eastAsia="Times New Roman" w:hAnsi="Times New Roman" w:cs="Times New Roman"/>
          <w:sz w:val="20"/>
          <w:szCs w:val="20"/>
          <w:lang w:val="pl-PL"/>
        </w:rPr>
        <w:t xml:space="preserve">, </w:t>
      </w:r>
      <w:proofErr w:type="spellStart"/>
      <w:r w:rsidRPr="00F539D0">
        <w:rPr>
          <w:rFonts w:ascii="Times New Roman" w:eastAsia="Times New Roman" w:hAnsi="Times New Roman" w:cs="Times New Roman"/>
          <w:sz w:val="20"/>
          <w:szCs w:val="20"/>
          <w:lang w:val="pl-PL"/>
        </w:rPr>
        <w:t>see</w:t>
      </w:r>
      <w:proofErr w:type="spellEnd"/>
      <w:r w:rsidRPr="00F539D0">
        <w:rPr>
          <w:rFonts w:ascii="Times New Roman" w:eastAsia="Times New Roman" w:hAnsi="Times New Roman" w:cs="Times New Roman"/>
          <w:sz w:val="20"/>
          <w:szCs w:val="20"/>
          <w:lang w:val="pl-PL"/>
        </w:rPr>
        <w:t xml:space="preserve"> P. Tuleja, </w:t>
      </w:r>
      <w:r w:rsidRPr="00F539D0">
        <w:rPr>
          <w:rFonts w:ascii="Times New Roman" w:eastAsia="Times New Roman" w:hAnsi="Times New Roman" w:cs="Times New Roman"/>
          <w:i/>
          <w:sz w:val="20"/>
          <w:szCs w:val="20"/>
          <w:lang w:val="pl-PL"/>
        </w:rPr>
        <w:t>Stosowanie Konstytucji…</w:t>
      </w:r>
      <w:r w:rsidRPr="00F539D0">
        <w:rPr>
          <w:rFonts w:ascii="Times New Roman" w:eastAsia="Times New Roman" w:hAnsi="Times New Roman" w:cs="Times New Roman"/>
          <w:sz w:val="20"/>
          <w:szCs w:val="20"/>
          <w:lang w:val="pl-PL"/>
        </w:rPr>
        <w:t>, p. 305.</w:t>
      </w:r>
    </w:p>
  </w:footnote>
  <w:footnote w:id="12">
    <w:p w14:paraId="00000047" w14:textId="77777777" w:rsidR="003E18BF" w:rsidRPr="00F539D0" w:rsidRDefault="00233EC6">
      <w:pPr>
        <w:spacing w:line="240" w:lineRule="auto"/>
        <w:rPr>
          <w:rFonts w:ascii="Times New Roman" w:eastAsia="Times New Roman" w:hAnsi="Times New Roman" w:cs="Times New Roman"/>
          <w:sz w:val="20"/>
          <w:szCs w:val="20"/>
          <w:lang w:val="pl-PL"/>
        </w:rPr>
      </w:pPr>
      <w:r>
        <w:rPr>
          <w:vertAlign w:val="superscript"/>
        </w:rPr>
        <w:footnoteRef/>
      </w:r>
      <w:r w:rsidRPr="00F539D0">
        <w:rPr>
          <w:rFonts w:ascii="Times New Roman" w:eastAsia="Times New Roman" w:hAnsi="Times New Roman" w:cs="Times New Roman"/>
          <w:sz w:val="20"/>
          <w:szCs w:val="20"/>
          <w:lang w:val="pl-PL"/>
        </w:rPr>
        <w:t xml:space="preserve"> M. Gutowski, P. Kardas, </w:t>
      </w:r>
      <w:r w:rsidRPr="00F539D0">
        <w:rPr>
          <w:rFonts w:ascii="Times New Roman" w:eastAsia="Times New Roman" w:hAnsi="Times New Roman" w:cs="Times New Roman"/>
          <w:i/>
          <w:sz w:val="20"/>
          <w:szCs w:val="20"/>
          <w:lang w:val="pl-PL"/>
        </w:rPr>
        <w:t>Wykładnia i stosowanie prawa…</w:t>
      </w:r>
      <w:r w:rsidRPr="00F539D0">
        <w:rPr>
          <w:rFonts w:ascii="Times New Roman" w:eastAsia="Times New Roman" w:hAnsi="Times New Roman" w:cs="Times New Roman"/>
          <w:sz w:val="20"/>
          <w:szCs w:val="20"/>
          <w:lang w:val="pl-PL"/>
        </w:rPr>
        <w:t>, p. 509.</w:t>
      </w:r>
    </w:p>
  </w:footnote>
  <w:footnote w:id="13">
    <w:p w14:paraId="00000048" w14:textId="77777777" w:rsidR="003E18BF" w:rsidRPr="00F539D0" w:rsidRDefault="00233EC6">
      <w:pPr>
        <w:spacing w:line="240" w:lineRule="auto"/>
        <w:jc w:val="both"/>
        <w:rPr>
          <w:rFonts w:ascii="Times New Roman" w:eastAsia="Times New Roman" w:hAnsi="Times New Roman" w:cs="Times New Roman"/>
          <w:sz w:val="20"/>
          <w:szCs w:val="20"/>
          <w:lang w:val="pl-PL"/>
        </w:rPr>
      </w:pPr>
      <w:r>
        <w:rPr>
          <w:vertAlign w:val="superscript"/>
        </w:rPr>
        <w:footnoteRef/>
      </w:r>
      <w:r w:rsidRPr="00F539D0">
        <w:rPr>
          <w:rFonts w:ascii="Times New Roman" w:eastAsia="Times New Roman" w:hAnsi="Times New Roman" w:cs="Times New Roman"/>
          <w:sz w:val="20"/>
          <w:szCs w:val="20"/>
          <w:lang w:val="pl-PL"/>
        </w:rPr>
        <w:t xml:space="preserve"> M. </w:t>
      </w:r>
      <w:proofErr w:type="spellStart"/>
      <w:r w:rsidRPr="00F539D0">
        <w:rPr>
          <w:rFonts w:ascii="Times New Roman" w:eastAsia="Times New Roman" w:hAnsi="Times New Roman" w:cs="Times New Roman"/>
          <w:sz w:val="20"/>
          <w:szCs w:val="20"/>
          <w:lang w:val="pl-PL"/>
        </w:rPr>
        <w:t>Kordela</w:t>
      </w:r>
      <w:proofErr w:type="spellEnd"/>
      <w:r w:rsidRPr="00F539D0">
        <w:rPr>
          <w:rFonts w:ascii="Times New Roman" w:eastAsia="Times New Roman" w:hAnsi="Times New Roman" w:cs="Times New Roman"/>
          <w:sz w:val="20"/>
          <w:szCs w:val="20"/>
          <w:lang w:val="pl-PL"/>
        </w:rPr>
        <w:t xml:space="preserve">, </w:t>
      </w:r>
      <w:r w:rsidRPr="00F539D0">
        <w:rPr>
          <w:rFonts w:ascii="Times New Roman" w:eastAsia="Times New Roman" w:hAnsi="Times New Roman" w:cs="Times New Roman"/>
          <w:i/>
          <w:sz w:val="20"/>
          <w:szCs w:val="20"/>
          <w:lang w:val="pl-PL"/>
        </w:rPr>
        <w:t>Kategoria norm, zasad oraz wartości prawnych. Uwagi metodologiczne w związku z orzecznictwem Trybunału Konstytucyjnego</w:t>
      </w:r>
      <w:r w:rsidRPr="00F539D0">
        <w:rPr>
          <w:rFonts w:ascii="Times New Roman" w:eastAsia="Times New Roman" w:hAnsi="Times New Roman" w:cs="Times New Roman"/>
          <w:sz w:val="20"/>
          <w:szCs w:val="20"/>
          <w:lang w:val="pl-PL"/>
        </w:rPr>
        <w:t xml:space="preserve">, „Przegląd Sejmowy” 2009, vol. 5, p. 28. </w:t>
      </w:r>
    </w:p>
  </w:footnote>
  <w:footnote w:id="14">
    <w:p w14:paraId="00000049" w14:textId="57D03BF5" w:rsidR="003E18BF" w:rsidRPr="00F539D0" w:rsidRDefault="00233EC6">
      <w:pPr>
        <w:spacing w:line="240" w:lineRule="auto"/>
        <w:jc w:val="both"/>
        <w:rPr>
          <w:rFonts w:ascii="Times New Roman" w:eastAsia="Times New Roman" w:hAnsi="Times New Roman" w:cs="Times New Roman"/>
          <w:sz w:val="20"/>
          <w:szCs w:val="20"/>
          <w:lang w:val="pl-PL"/>
        </w:rPr>
      </w:pPr>
      <w:r>
        <w:rPr>
          <w:vertAlign w:val="superscript"/>
        </w:rPr>
        <w:footnoteRef/>
      </w:r>
      <w:r w:rsidRPr="00F539D0">
        <w:rPr>
          <w:rFonts w:ascii="Times New Roman" w:eastAsia="Times New Roman" w:hAnsi="Times New Roman" w:cs="Times New Roman"/>
          <w:sz w:val="20"/>
          <w:szCs w:val="20"/>
          <w:lang w:val="pl-PL"/>
        </w:rPr>
        <w:t xml:space="preserve"> T. </w:t>
      </w:r>
      <w:proofErr w:type="spellStart"/>
      <w:r w:rsidRPr="00F539D0">
        <w:rPr>
          <w:rFonts w:ascii="Times New Roman" w:eastAsia="Times New Roman" w:hAnsi="Times New Roman" w:cs="Times New Roman"/>
          <w:sz w:val="20"/>
          <w:szCs w:val="20"/>
          <w:lang w:val="pl-PL"/>
        </w:rPr>
        <w:t>Gizbert</w:t>
      </w:r>
      <w:proofErr w:type="spellEnd"/>
      <w:r w:rsidRPr="00F539D0">
        <w:rPr>
          <w:rFonts w:ascii="Times New Roman" w:eastAsia="Times New Roman" w:hAnsi="Times New Roman" w:cs="Times New Roman"/>
          <w:sz w:val="20"/>
          <w:szCs w:val="20"/>
          <w:lang w:val="pl-PL"/>
        </w:rPr>
        <w:t xml:space="preserve">-Studnicki, </w:t>
      </w:r>
      <w:r w:rsidRPr="00F539D0">
        <w:rPr>
          <w:rFonts w:ascii="Times New Roman" w:eastAsia="Times New Roman" w:hAnsi="Times New Roman" w:cs="Times New Roman"/>
          <w:i/>
          <w:sz w:val="20"/>
          <w:szCs w:val="20"/>
          <w:lang w:val="pl-PL"/>
        </w:rPr>
        <w:t>Konflikt dóbr i kolizja norm</w:t>
      </w:r>
      <w:r w:rsidRPr="00F539D0">
        <w:rPr>
          <w:rFonts w:ascii="Times New Roman" w:eastAsia="Times New Roman" w:hAnsi="Times New Roman" w:cs="Times New Roman"/>
          <w:sz w:val="20"/>
          <w:szCs w:val="20"/>
          <w:lang w:val="pl-PL"/>
        </w:rPr>
        <w:t xml:space="preserve">, „Ruch Prawniczy, Ekonomiczny i Socjologiczny” 1989, vol. 1, p. 1; M. </w:t>
      </w:r>
      <w:proofErr w:type="spellStart"/>
      <w:r w:rsidRPr="00F539D0">
        <w:rPr>
          <w:rFonts w:ascii="Times New Roman" w:eastAsia="Times New Roman" w:hAnsi="Times New Roman" w:cs="Times New Roman"/>
          <w:sz w:val="20"/>
          <w:szCs w:val="20"/>
          <w:lang w:val="pl-PL"/>
        </w:rPr>
        <w:t>Kordela</w:t>
      </w:r>
      <w:proofErr w:type="spellEnd"/>
      <w:r w:rsidRPr="00F539D0">
        <w:rPr>
          <w:rFonts w:ascii="Times New Roman" w:eastAsia="Times New Roman" w:hAnsi="Times New Roman" w:cs="Times New Roman"/>
          <w:sz w:val="20"/>
          <w:szCs w:val="20"/>
          <w:lang w:val="pl-PL"/>
        </w:rPr>
        <w:t xml:space="preserve">, </w:t>
      </w:r>
      <w:r w:rsidRPr="00F539D0">
        <w:rPr>
          <w:rFonts w:ascii="Times New Roman" w:eastAsia="Times New Roman" w:hAnsi="Times New Roman" w:cs="Times New Roman"/>
          <w:i/>
          <w:sz w:val="20"/>
          <w:szCs w:val="20"/>
          <w:lang w:val="pl-PL"/>
        </w:rPr>
        <w:t>Kategoria norm…</w:t>
      </w:r>
      <w:r w:rsidRPr="00F539D0">
        <w:rPr>
          <w:rFonts w:ascii="Times New Roman" w:eastAsia="Times New Roman" w:hAnsi="Times New Roman" w:cs="Times New Roman"/>
          <w:sz w:val="20"/>
          <w:szCs w:val="20"/>
          <w:lang w:val="pl-PL"/>
        </w:rPr>
        <w:t xml:space="preserve">, </w:t>
      </w:r>
      <w:r>
        <w:rPr>
          <w:rFonts w:ascii="Times New Roman" w:eastAsia="Times New Roman" w:hAnsi="Times New Roman" w:cs="Times New Roman"/>
          <w:sz w:val="20"/>
          <w:szCs w:val="20"/>
          <w:lang w:val="pl-PL"/>
        </w:rPr>
        <w:t>p</w:t>
      </w:r>
      <w:r w:rsidRPr="00F539D0">
        <w:rPr>
          <w:rFonts w:ascii="Times New Roman" w:eastAsia="Times New Roman" w:hAnsi="Times New Roman" w:cs="Times New Roman"/>
          <w:sz w:val="20"/>
          <w:szCs w:val="20"/>
          <w:lang w:val="pl-PL"/>
        </w:rPr>
        <w:t xml:space="preserve">. 28; M. Gutowski, P. Kardas, </w:t>
      </w:r>
      <w:r w:rsidRPr="00F539D0">
        <w:rPr>
          <w:rFonts w:ascii="Times New Roman" w:eastAsia="Times New Roman" w:hAnsi="Times New Roman" w:cs="Times New Roman"/>
          <w:i/>
          <w:sz w:val="20"/>
          <w:szCs w:val="20"/>
          <w:lang w:val="pl-PL"/>
        </w:rPr>
        <w:t>Wykładnia i stosowanie prawa…</w:t>
      </w:r>
      <w:r w:rsidRPr="00F539D0">
        <w:rPr>
          <w:rFonts w:ascii="Times New Roman" w:eastAsia="Times New Roman" w:hAnsi="Times New Roman" w:cs="Times New Roman"/>
          <w:sz w:val="20"/>
          <w:szCs w:val="20"/>
          <w:lang w:val="pl-PL"/>
        </w:rPr>
        <w:t>, p</w:t>
      </w:r>
      <w:r w:rsidR="00BE7C6D">
        <w:rPr>
          <w:rFonts w:ascii="Times New Roman" w:eastAsia="Times New Roman" w:hAnsi="Times New Roman" w:cs="Times New Roman"/>
          <w:sz w:val="20"/>
          <w:szCs w:val="20"/>
          <w:lang w:val="pl-PL"/>
        </w:rPr>
        <w:t>p</w:t>
      </w:r>
      <w:r w:rsidRPr="00F539D0">
        <w:rPr>
          <w:rFonts w:ascii="Times New Roman" w:eastAsia="Times New Roman" w:hAnsi="Times New Roman" w:cs="Times New Roman"/>
          <w:sz w:val="20"/>
          <w:szCs w:val="20"/>
          <w:lang w:val="pl-PL"/>
        </w:rPr>
        <w:t>. 219-220, 536.</w:t>
      </w:r>
    </w:p>
  </w:footnote>
  <w:footnote w:id="15">
    <w:p w14:paraId="0000004A" w14:textId="77777777" w:rsidR="003E18BF" w:rsidRPr="00F539D0" w:rsidRDefault="00233EC6">
      <w:pPr>
        <w:spacing w:line="240" w:lineRule="auto"/>
        <w:jc w:val="both"/>
        <w:rPr>
          <w:rFonts w:ascii="Times New Roman" w:eastAsia="Times New Roman" w:hAnsi="Times New Roman" w:cs="Times New Roman"/>
          <w:sz w:val="20"/>
          <w:szCs w:val="20"/>
          <w:lang w:val="pl-PL"/>
        </w:rPr>
      </w:pPr>
      <w:r>
        <w:rPr>
          <w:vertAlign w:val="superscript"/>
        </w:rPr>
        <w:footnoteRef/>
      </w:r>
      <w:r w:rsidRPr="00F539D0">
        <w:rPr>
          <w:rFonts w:ascii="Times New Roman" w:eastAsia="Times New Roman" w:hAnsi="Times New Roman" w:cs="Times New Roman"/>
          <w:sz w:val="20"/>
          <w:szCs w:val="20"/>
          <w:lang w:val="pl-PL"/>
        </w:rPr>
        <w:t xml:space="preserve"> P. Tuleja, </w:t>
      </w:r>
      <w:r w:rsidRPr="00F539D0">
        <w:rPr>
          <w:rFonts w:ascii="Times New Roman" w:eastAsia="Times New Roman" w:hAnsi="Times New Roman" w:cs="Times New Roman"/>
          <w:i/>
          <w:sz w:val="20"/>
          <w:szCs w:val="20"/>
          <w:lang w:val="pl-PL"/>
        </w:rPr>
        <w:t xml:space="preserve">Interpretacja konstytucji, </w:t>
      </w:r>
      <w:r w:rsidRPr="00F539D0">
        <w:rPr>
          <w:rFonts w:ascii="Times New Roman" w:eastAsia="Times New Roman" w:hAnsi="Times New Roman" w:cs="Times New Roman"/>
          <w:sz w:val="20"/>
          <w:szCs w:val="20"/>
          <w:lang w:val="pl-PL"/>
        </w:rPr>
        <w:t xml:space="preserve">in: </w:t>
      </w:r>
      <w:r w:rsidRPr="00F539D0">
        <w:rPr>
          <w:rFonts w:ascii="Times New Roman" w:eastAsia="Times New Roman" w:hAnsi="Times New Roman" w:cs="Times New Roman"/>
          <w:i/>
          <w:sz w:val="20"/>
          <w:szCs w:val="20"/>
          <w:lang w:val="pl-PL"/>
        </w:rPr>
        <w:t>Konstytucja i gwarancje jej przestrzegania. Księga pamiątkowa ku czci prof. Janiny Zakrzewskiej</w:t>
      </w:r>
      <w:r w:rsidRPr="00F539D0">
        <w:rPr>
          <w:rFonts w:ascii="Times New Roman" w:eastAsia="Times New Roman" w:hAnsi="Times New Roman" w:cs="Times New Roman"/>
          <w:sz w:val="20"/>
          <w:szCs w:val="20"/>
          <w:lang w:val="pl-PL"/>
        </w:rPr>
        <w:t>, ed. J. Trzciński, A. Jankiewicz, Warszawa 1996, p. 480.</w:t>
      </w:r>
    </w:p>
  </w:footnote>
  <w:footnote w:id="16">
    <w:p w14:paraId="0000004B" w14:textId="17BC153A" w:rsidR="003E18BF" w:rsidRPr="00F539D0" w:rsidRDefault="00233EC6">
      <w:pPr>
        <w:spacing w:line="240" w:lineRule="auto"/>
        <w:rPr>
          <w:rFonts w:ascii="Times New Roman" w:eastAsia="Times New Roman" w:hAnsi="Times New Roman" w:cs="Times New Roman"/>
          <w:sz w:val="20"/>
          <w:szCs w:val="20"/>
          <w:lang w:val="pl-PL"/>
        </w:rPr>
      </w:pPr>
      <w:r>
        <w:rPr>
          <w:vertAlign w:val="superscript"/>
        </w:rPr>
        <w:footnoteRef/>
      </w:r>
      <w:r w:rsidRPr="00F539D0">
        <w:rPr>
          <w:rFonts w:ascii="Times New Roman" w:eastAsia="Times New Roman" w:hAnsi="Times New Roman" w:cs="Times New Roman"/>
          <w:sz w:val="20"/>
          <w:szCs w:val="20"/>
          <w:lang w:val="pl-PL"/>
        </w:rPr>
        <w:t xml:space="preserve"> T. </w:t>
      </w:r>
      <w:proofErr w:type="spellStart"/>
      <w:r w:rsidRPr="00F539D0">
        <w:rPr>
          <w:rFonts w:ascii="Times New Roman" w:eastAsia="Times New Roman" w:hAnsi="Times New Roman" w:cs="Times New Roman"/>
          <w:sz w:val="20"/>
          <w:szCs w:val="20"/>
          <w:lang w:val="pl-PL"/>
        </w:rPr>
        <w:t>Gizbert</w:t>
      </w:r>
      <w:proofErr w:type="spellEnd"/>
      <w:r w:rsidRPr="00F539D0">
        <w:rPr>
          <w:rFonts w:ascii="Times New Roman" w:eastAsia="Times New Roman" w:hAnsi="Times New Roman" w:cs="Times New Roman"/>
          <w:sz w:val="20"/>
          <w:szCs w:val="20"/>
          <w:lang w:val="pl-PL"/>
        </w:rPr>
        <w:t xml:space="preserve">-Studnicki, </w:t>
      </w:r>
      <w:r>
        <w:rPr>
          <w:rFonts w:ascii="Times New Roman" w:eastAsia="Times New Roman" w:hAnsi="Times New Roman" w:cs="Times New Roman"/>
          <w:i/>
          <w:sz w:val="20"/>
          <w:szCs w:val="20"/>
          <w:lang w:val="pl-PL"/>
        </w:rPr>
        <w:t>Konflikt dóbr…</w:t>
      </w:r>
      <w:r w:rsidRPr="00F539D0">
        <w:rPr>
          <w:rFonts w:ascii="Times New Roman" w:eastAsia="Times New Roman" w:hAnsi="Times New Roman" w:cs="Times New Roman"/>
          <w:sz w:val="20"/>
          <w:szCs w:val="20"/>
          <w:lang w:val="pl-PL"/>
        </w:rPr>
        <w:t xml:space="preserve">, </w:t>
      </w:r>
      <w:r>
        <w:rPr>
          <w:rFonts w:ascii="Times New Roman" w:eastAsia="Times New Roman" w:hAnsi="Times New Roman" w:cs="Times New Roman"/>
          <w:sz w:val="20"/>
          <w:szCs w:val="20"/>
          <w:lang w:val="pl-PL"/>
        </w:rPr>
        <w:t>p</w:t>
      </w:r>
      <w:r w:rsidRPr="00F539D0">
        <w:rPr>
          <w:rFonts w:ascii="Times New Roman" w:eastAsia="Times New Roman" w:hAnsi="Times New Roman" w:cs="Times New Roman"/>
          <w:sz w:val="20"/>
          <w:szCs w:val="20"/>
          <w:lang w:val="pl-PL"/>
        </w:rPr>
        <w:t>. 12.</w:t>
      </w:r>
    </w:p>
  </w:footnote>
  <w:footnote w:id="17">
    <w:p w14:paraId="0000004C" w14:textId="0E88A4EE" w:rsidR="003E18BF" w:rsidRPr="00F539D0" w:rsidRDefault="00233EC6">
      <w:pPr>
        <w:spacing w:line="240" w:lineRule="auto"/>
        <w:jc w:val="both"/>
        <w:rPr>
          <w:sz w:val="20"/>
          <w:szCs w:val="20"/>
          <w:lang w:val="pl-PL"/>
        </w:rPr>
      </w:pPr>
      <w:r>
        <w:rPr>
          <w:vertAlign w:val="superscript"/>
        </w:rPr>
        <w:footnoteRef/>
      </w:r>
      <w:r w:rsidRPr="00F539D0">
        <w:rPr>
          <w:sz w:val="20"/>
          <w:szCs w:val="20"/>
          <w:lang w:val="pl-PL"/>
        </w:rPr>
        <w:t xml:space="preserve"> </w:t>
      </w:r>
      <w:r w:rsidRPr="00F539D0">
        <w:rPr>
          <w:rFonts w:ascii="Times New Roman" w:eastAsia="Times New Roman" w:hAnsi="Times New Roman" w:cs="Times New Roman"/>
          <w:sz w:val="20"/>
          <w:szCs w:val="20"/>
          <w:lang w:val="pl-PL"/>
        </w:rPr>
        <w:t xml:space="preserve">P. Tuleja, </w:t>
      </w:r>
      <w:r w:rsidRPr="00F539D0">
        <w:rPr>
          <w:rFonts w:ascii="Times New Roman" w:eastAsia="Times New Roman" w:hAnsi="Times New Roman" w:cs="Times New Roman"/>
          <w:i/>
          <w:sz w:val="20"/>
          <w:szCs w:val="20"/>
          <w:lang w:val="pl-PL"/>
        </w:rPr>
        <w:t>Postępowanie przed Trybunałem Konstytucyjnym w sprawie hierarchicznej kontroli norm</w:t>
      </w:r>
      <w:r w:rsidRPr="00F539D0">
        <w:rPr>
          <w:rFonts w:ascii="Times New Roman" w:eastAsia="Times New Roman" w:hAnsi="Times New Roman" w:cs="Times New Roman"/>
          <w:sz w:val="20"/>
          <w:szCs w:val="20"/>
          <w:lang w:val="pl-PL"/>
        </w:rPr>
        <w:t>, „Przegląd Sejmowy” 2009,</w:t>
      </w:r>
      <w:r>
        <w:rPr>
          <w:rFonts w:ascii="Times New Roman" w:eastAsia="Times New Roman" w:hAnsi="Times New Roman" w:cs="Times New Roman"/>
          <w:sz w:val="20"/>
          <w:szCs w:val="20"/>
          <w:lang w:val="pl-PL"/>
        </w:rPr>
        <w:t xml:space="preserve"> vol.</w:t>
      </w:r>
      <w:r w:rsidRPr="00F539D0">
        <w:rPr>
          <w:rFonts w:ascii="Times New Roman" w:eastAsia="Times New Roman" w:hAnsi="Times New Roman" w:cs="Times New Roman"/>
          <w:sz w:val="20"/>
          <w:szCs w:val="20"/>
          <w:lang w:val="pl-PL"/>
        </w:rPr>
        <w:t xml:space="preserve"> 5, </w:t>
      </w:r>
      <w:r>
        <w:rPr>
          <w:rFonts w:ascii="Times New Roman" w:eastAsia="Times New Roman" w:hAnsi="Times New Roman" w:cs="Times New Roman"/>
          <w:sz w:val="20"/>
          <w:szCs w:val="20"/>
          <w:lang w:val="pl-PL"/>
        </w:rPr>
        <w:t>p</w:t>
      </w:r>
      <w:r w:rsidRPr="00F539D0">
        <w:rPr>
          <w:rFonts w:ascii="Times New Roman" w:eastAsia="Times New Roman" w:hAnsi="Times New Roman" w:cs="Times New Roman"/>
          <w:sz w:val="20"/>
          <w:szCs w:val="20"/>
          <w:lang w:val="pl-PL"/>
        </w:rPr>
        <w:t>. 35.</w:t>
      </w:r>
    </w:p>
  </w:footnote>
  <w:footnote w:id="18">
    <w:p w14:paraId="0000004D" w14:textId="77777777" w:rsidR="003E18BF" w:rsidRPr="00F539D0" w:rsidRDefault="00233EC6">
      <w:pPr>
        <w:spacing w:line="240" w:lineRule="auto"/>
        <w:jc w:val="both"/>
        <w:rPr>
          <w:rFonts w:ascii="Times New Roman" w:eastAsia="Times New Roman" w:hAnsi="Times New Roman" w:cs="Times New Roman"/>
          <w:sz w:val="20"/>
          <w:szCs w:val="20"/>
          <w:lang w:val="pl-PL"/>
        </w:rPr>
      </w:pPr>
      <w:r>
        <w:rPr>
          <w:vertAlign w:val="superscript"/>
        </w:rPr>
        <w:footnoteRef/>
      </w:r>
      <w:r w:rsidRPr="00F539D0">
        <w:rPr>
          <w:rFonts w:ascii="Times New Roman" w:eastAsia="Times New Roman" w:hAnsi="Times New Roman" w:cs="Times New Roman"/>
          <w:sz w:val="20"/>
          <w:szCs w:val="20"/>
          <w:lang w:val="pl-PL"/>
        </w:rPr>
        <w:t xml:space="preserve"> M. </w:t>
      </w:r>
      <w:proofErr w:type="spellStart"/>
      <w:r w:rsidRPr="00F539D0">
        <w:rPr>
          <w:rFonts w:ascii="Times New Roman" w:eastAsia="Times New Roman" w:hAnsi="Times New Roman" w:cs="Times New Roman"/>
          <w:sz w:val="20"/>
          <w:szCs w:val="20"/>
          <w:lang w:val="pl-PL"/>
        </w:rPr>
        <w:t>Sarnowiec-Cisłak</w:t>
      </w:r>
      <w:proofErr w:type="spellEnd"/>
      <w:r w:rsidRPr="00F539D0">
        <w:rPr>
          <w:rFonts w:ascii="Times New Roman" w:eastAsia="Times New Roman" w:hAnsi="Times New Roman" w:cs="Times New Roman"/>
          <w:sz w:val="20"/>
          <w:szCs w:val="20"/>
          <w:lang w:val="pl-PL"/>
        </w:rPr>
        <w:t xml:space="preserve">, T. Grzybowski, </w:t>
      </w:r>
      <w:r w:rsidRPr="00F539D0">
        <w:rPr>
          <w:rFonts w:ascii="Times New Roman" w:eastAsia="Times New Roman" w:hAnsi="Times New Roman" w:cs="Times New Roman"/>
          <w:i/>
          <w:sz w:val="20"/>
          <w:szCs w:val="20"/>
          <w:lang w:val="pl-PL"/>
        </w:rPr>
        <w:t>Ważenie zasad prawa w orzecznictwie sądów administracyjnych</w:t>
      </w:r>
      <w:r w:rsidRPr="00F539D0">
        <w:rPr>
          <w:rFonts w:ascii="Times New Roman" w:eastAsia="Times New Roman" w:hAnsi="Times New Roman" w:cs="Times New Roman"/>
          <w:sz w:val="20"/>
          <w:szCs w:val="20"/>
          <w:lang w:val="pl-PL"/>
        </w:rPr>
        <w:t>, „Zeszyty Naukowe Sądownictwa Administracyjnego” 2018, vol. 6, p. 55.</w:t>
      </w:r>
    </w:p>
  </w:footnote>
  <w:footnote w:id="19">
    <w:p w14:paraId="0000004E" w14:textId="7AE0B034" w:rsidR="003E18BF" w:rsidRPr="00F539D0" w:rsidRDefault="00233EC6">
      <w:pPr>
        <w:spacing w:line="240" w:lineRule="auto"/>
        <w:jc w:val="both"/>
        <w:rPr>
          <w:rFonts w:ascii="Times New Roman" w:eastAsia="Times New Roman" w:hAnsi="Times New Roman" w:cs="Times New Roman"/>
          <w:sz w:val="20"/>
          <w:szCs w:val="20"/>
          <w:lang w:val="pl-PL"/>
        </w:rPr>
      </w:pPr>
      <w:r>
        <w:rPr>
          <w:vertAlign w:val="superscript"/>
        </w:rPr>
        <w:footnoteRef/>
      </w:r>
      <w:r w:rsidRPr="00F539D0">
        <w:rPr>
          <w:rFonts w:ascii="Times New Roman" w:eastAsia="Times New Roman" w:hAnsi="Times New Roman" w:cs="Times New Roman"/>
          <w:sz w:val="20"/>
          <w:szCs w:val="20"/>
          <w:lang w:val="pl-PL"/>
        </w:rPr>
        <w:t xml:space="preserve"> M. Zygmunt, </w:t>
      </w:r>
      <w:r w:rsidRPr="00F539D0">
        <w:rPr>
          <w:rFonts w:ascii="Times New Roman" w:eastAsia="Times New Roman" w:hAnsi="Times New Roman" w:cs="Times New Roman"/>
          <w:i/>
          <w:sz w:val="20"/>
          <w:szCs w:val="20"/>
          <w:lang w:val="pl-PL"/>
        </w:rPr>
        <w:t>Ważenie praw i wolności konstytucyjnych w procesie sądowego stosowania prawa</w:t>
      </w:r>
      <w:r w:rsidRPr="00F539D0">
        <w:rPr>
          <w:rFonts w:ascii="Times New Roman" w:eastAsia="Times New Roman" w:hAnsi="Times New Roman" w:cs="Times New Roman"/>
          <w:sz w:val="20"/>
          <w:szCs w:val="20"/>
          <w:lang w:val="pl-PL"/>
        </w:rPr>
        <w:t>, „Przegląd Prawa Konstytucyjnego” 2023, vol. 3, p</w:t>
      </w:r>
      <w:r w:rsidR="00BE7C6D">
        <w:rPr>
          <w:rFonts w:ascii="Times New Roman" w:eastAsia="Times New Roman" w:hAnsi="Times New Roman" w:cs="Times New Roman"/>
          <w:sz w:val="20"/>
          <w:szCs w:val="20"/>
          <w:lang w:val="pl-PL"/>
        </w:rPr>
        <w:t>p</w:t>
      </w:r>
      <w:r w:rsidRPr="00F539D0">
        <w:rPr>
          <w:rFonts w:ascii="Times New Roman" w:eastAsia="Times New Roman" w:hAnsi="Times New Roman" w:cs="Times New Roman"/>
          <w:sz w:val="20"/>
          <w:szCs w:val="20"/>
          <w:lang w:val="pl-PL"/>
        </w:rPr>
        <w:t>. 127-139.</w:t>
      </w:r>
    </w:p>
  </w:footnote>
  <w:footnote w:id="20">
    <w:p w14:paraId="0000004F" w14:textId="5A3769E1" w:rsidR="003E18BF" w:rsidRPr="00F539D0" w:rsidRDefault="00233EC6">
      <w:pPr>
        <w:spacing w:line="240" w:lineRule="auto"/>
        <w:jc w:val="both"/>
        <w:rPr>
          <w:rFonts w:ascii="Times New Roman" w:eastAsia="Times New Roman" w:hAnsi="Times New Roman" w:cs="Times New Roman"/>
          <w:sz w:val="20"/>
          <w:szCs w:val="20"/>
          <w:lang w:val="pl-PL"/>
        </w:rPr>
      </w:pPr>
      <w:r>
        <w:rPr>
          <w:vertAlign w:val="superscript"/>
        </w:rPr>
        <w:footnoteRef/>
      </w:r>
      <w:r w:rsidRPr="00F539D0">
        <w:rPr>
          <w:rFonts w:ascii="Times New Roman" w:eastAsia="Times New Roman" w:hAnsi="Times New Roman" w:cs="Times New Roman"/>
          <w:sz w:val="20"/>
          <w:szCs w:val="20"/>
          <w:lang w:val="pl-PL"/>
        </w:rPr>
        <w:t xml:space="preserve"> M. Florczak-Wątor, </w:t>
      </w:r>
      <w:r w:rsidRPr="00F539D0">
        <w:rPr>
          <w:rFonts w:ascii="Times New Roman" w:eastAsia="Times New Roman" w:hAnsi="Times New Roman" w:cs="Times New Roman"/>
          <w:i/>
          <w:sz w:val="20"/>
          <w:szCs w:val="20"/>
          <w:lang w:val="pl-PL"/>
        </w:rPr>
        <w:t>Horyzontalny wymiar praw…</w:t>
      </w:r>
      <w:r w:rsidRPr="00F539D0">
        <w:rPr>
          <w:rFonts w:ascii="Times New Roman" w:eastAsia="Times New Roman" w:hAnsi="Times New Roman" w:cs="Times New Roman"/>
          <w:sz w:val="20"/>
          <w:szCs w:val="20"/>
          <w:lang w:val="pl-PL"/>
        </w:rPr>
        <w:t xml:space="preserve">, p. 234; M. Florczak-Wątor, </w:t>
      </w:r>
      <w:r w:rsidRPr="00F539D0">
        <w:rPr>
          <w:rFonts w:ascii="Times New Roman" w:eastAsia="Times New Roman" w:hAnsi="Times New Roman" w:cs="Times New Roman"/>
          <w:i/>
          <w:sz w:val="20"/>
          <w:szCs w:val="20"/>
          <w:lang w:val="pl-PL"/>
        </w:rPr>
        <w:t>Ważenie zasad konstytucyjnych jako podstawa sądowej wykładni</w:t>
      </w:r>
      <w:r w:rsidRPr="00F539D0">
        <w:rPr>
          <w:rFonts w:ascii="Times New Roman" w:eastAsia="Times New Roman" w:hAnsi="Times New Roman" w:cs="Times New Roman"/>
          <w:sz w:val="20"/>
          <w:szCs w:val="20"/>
          <w:lang w:val="pl-PL"/>
        </w:rPr>
        <w:t xml:space="preserve">, in: </w:t>
      </w:r>
      <w:r w:rsidRPr="00F539D0">
        <w:rPr>
          <w:rFonts w:ascii="Times New Roman" w:eastAsia="Times New Roman" w:hAnsi="Times New Roman" w:cs="Times New Roman"/>
          <w:i/>
          <w:sz w:val="20"/>
          <w:szCs w:val="20"/>
          <w:lang w:val="pl-PL"/>
        </w:rPr>
        <w:t>Argumentacja konstytucyjna w orzecznictwie sądowym</w:t>
      </w:r>
      <w:r w:rsidRPr="00F539D0">
        <w:rPr>
          <w:rFonts w:ascii="Times New Roman" w:eastAsia="Times New Roman" w:hAnsi="Times New Roman" w:cs="Times New Roman"/>
          <w:sz w:val="20"/>
          <w:szCs w:val="20"/>
          <w:lang w:val="pl-PL"/>
        </w:rPr>
        <w:t xml:space="preserve">, „Studia i Analizy Sądu Najwyższego. Materiały naukowe”, </w:t>
      </w:r>
      <w:proofErr w:type="spellStart"/>
      <w:r w:rsidRPr="00F539D0">
        <w:rPr>
          <w:rFonts w:ascii="Times New Roman" w:eastAsia="Times New Roman" w:hAnsi="Times New Roman" w:cs="Times New Roman"/>
          <w:sz w:val="20"/>
          <w:szCs w:val="20"/>
          <w:lang w:val="pl-PL"/>
        </w:rPr>
        <w:t>ed</w:t>
      </w:r>
      <w:r w:rsidR="00BE7C6D">
        <w:rPr>
          <w:rFonts w:ascii="Times New Roman" w:eastAsia="Times New Roman" w:hAnsi="Times New Roman" w:cs="Times New Roman"/>
          <w:sz w:val="20"/>
          <w:szCs w:val="20"/>
          <w:lang w:val="pl-PL"/>
        </w:rPr>
        <w:t>s</w:t>
      </w:r>
      <w:proofErr w:type="spellEnd"/>
      <w:r w:rsidRPr="00F539D0">
        <w:rPr>
          <w:rFonts w:ascii="Times New Roman" w:eastAsia="Times New Roman" w:hAnsi="Times New Roman" w:cs="Times New Roman"/>
          <w:sz w:val="20"/>
          <w:szCs w:val="20"/>
          <w:lang w:val="pl-PL"/>
        </w:rPr>
        <w:t xml:space="preserve">. A. Kotowski, E. </w:t>
      </w:r>
      <w:proofErr w:type="spellStart"/>
      <w:r w:rsidRPr="00F539D0">
        <w:rPr>
          <w:rFonts w:ascii="Times New Roman" w:eastAsia="Times New Roman" w:hAnsi="Times New Roman" w:cs="Times New Roman"/>
          <w:sz w:val="20"/>
          <w:szCs w:val="20"/>
          <w:lang w:val="pl-PL"/>
        </w:rPr>
        <w:t>Maniewska</w:t>
      </w:r>
      <w:proofErr w:type="spellEnd"/>
      <w:r w:rsidRPr="00F539D0">
        <w:rPr>
          <w:rFonts w:ascii="Times New Roman" w:eastAsia="Times New Roman" w:hAnsi="Times New Roman" w:cs="Times New Roman"/>
          <w:sz w:val="20"/>
          <w:szCs w:val="20"/>
          <w:lang w:val="pl-PL"/>
        </w:rPr>
        <w:t xml:space="preserve">, t. 4, Warszawa 2017, </w:t>
      </w:r>
      <w:r>
        <w:rPr>
          <w:rFonts w:ascii="Times New Roman" w:eastAsia="Times New Roman" w:hAnsi="Times New Roman" w:cs="Times New Roman"/>
          <w:sz w:val="20"/>
          <w:szCs w:val="20"/>
          <w:lang w:val="pl-PL"/>
        </w:rPr>
        <w:t>p.</w:t>
      </w:r>
      <w:r w:rsidRPr="00F539D0">
        <w:rPr>
          <w:rFonts w:ascii="Times New Roman" w:eastAsia="Times New Roman" w:hAnsi="Times New Roman" w:cs="Times New Roman"/>
          <w:sz w:val="20"/>
          <w:szCs w:val="20"/>
          <w:lang w:val="pl-PL"/>
        </w:rPr>
        <w:t xml:space="preserve"> 35.</w:t>
      </w:r>
    </w:p>
  </w:footnote>
  <w:footnote w:id="21">
    <w:p w14:paraId="00000050" w14:textId="77777777" w:rsidR="003E18BF" w:rsidRPr="00F539D0" w:rsidRDefault="00233EC6">
      <w:pPr>
        <w:spacing w:line="240" w:lineRule="auto"/>
        <w:jc w:val="both"/>
        <w:rPr>
          <w:rFonts w:ascii="Times New Roman" w:eastAsia="Times New Roman" w:hAnsi="Times New Roman" w:cs="Times New Roman"/>
          <w:sz w:val="20"/>
          <w:szCs w:val="20"/>
          <w:lang w:val="pl-PL"/>
        </w:rPr>
      </w:pPr>
      <w:r>
        <w:rPr>
          <w:vertAlign w:val="superscript"/>
        </w:rPr>
        <w:footnoteRef/>
      </w:r>
      <w:r w:rsidRPr="00F539D0">
        <w:rPr>
          <w:rFonts w:ascii="Times New Roman" w:eastAsia="Times New Roman" w:hAnsi="Times New Roman" w:cs="Times New Roman"/>
          <w:sz w:val="20"/>
          <w:szCs w:val="20"/>
          <w:lang w:val="pl-PL"/>
        </w:rPr>
        <w:t xml:space="preserve"> M. Safjan, </w:t>
      </w:r>
      <w:r w:rsidRPr="00F539D0">
        <w:rPr>
          <w:rFonts w:ascii="Times New Roman" w:eastAsia="Times New Roman" w:hAnsi="Times New Roman" w:cs="Times New Roman"/>
          <w:i/>
          <w:sz w:val="20"/>
          <w:szCs w:val="20"/>
          <w:lang w:val="pl-PL"/>
        </w:rPr>
        <w:t xml:space="preserve">O różnych metodach oddziaływania horyzontalnego praw podstawowych na prawo prywatne, </w:t>
      </w:r>
      <w:r w:rsidRPr="00F539D0">
        <w:rPr>
          <w:rFonts w:ascii="Times New Roman" w:eastAsia="Times New Roman" w:hAnsi="Times New Roman" w:cs="Times New Roman"/>
          <w:sz w:val="20"/>
          <w:szCs w:val="20"/>
          <w:lang w:val="pl-PL"/>
        </w:rPr>
        <w:t>„Państwo i Prawo” 2014, vol.  2, p. 17.</w:t>
      </w:r>
    </w:p>
  </w:footnote>
  <w:footnote w:id="22">
    <w:p w14:paraId="00000051" w14:textId="4A06A0CC" w:rsidR="003E18BF" w:rsidRPr="00F539D0" w:rsidRDefault="00233EC6">
      <w:pPr>
        <w:spacing w:line="240" w:lineRule="auto"/>
        <w:jc w:val="both"/>
        <w:rPr>
          <w:rFonts w:ascii="Times New Roman" w:eastAsia="Times New Roman" w:hAnsi="Times New Roman" w:cs="Times New Roman"/>
          <w:sz w:val="20"/>
          <w:szCs w:val="20"/>
          <w:lang w:val="pl-PL"/>
        </w:rPr>
      </w:pPr>
      <w:r>
        <w:rPr>
          <w:vertAlign w:val="superscript"/>
        </w:rPr>
        <w:footnoteRef/>
      </w:r>
      <w:r w:rsidRPr="00F539D0">
        <w:rPr>
          <w:rFonts w:ascii="Times New Roman" w:eastAsia="Times New Roman" w:hAnsi="Times New Roman" w:cs="Times New Roman"/>
          <w:sz w:val="20"/>
          <w:szCs w:val="20"/>
          <w:lang w:val="pl-PL"/>
        </w:rPr>
        <w:t xml:space="preserve"> P. Wiliński, P. Karlik, in: </w:t>
      </w:r>
      <w:r w:rsidRPr="00F539D0">
        <w:rPr>
          <w:rFonts w:ascii="Times New Roman" w:eastAsia="Times New Roman" w:hAnsi="Times New Roman" w:cs="Times New Roman"/>
          <w:i/>
          <w:sz w:val="20"/>
          <w:szCs w:val="20"/>
          <w:lang w:val="pl-PL"/>
        </w:rPr>
        <w:t>Konstytucja RP. Tom II. Komentarz do art. 87-243</w:t>
      </w:r>
      <w:r w:rsidRPr="00F539D0">
        <w:rPr>
          <w:rFonts w:ascii="Times New Roman" w:eastAsia="Times New Roman" w:hAnsi="Times New Roman" w:cs="Times New Roman"/>
          <w:sz w:val="20"/>
          <w:szCs w:val="20"/>
          <w:lang w:val="pl-PL"/>
        </w:rPr>
        <w:t xml:space="preserve">, </w:t>
      </w:r>
      <w:proofErr w:type="spellStart"/>
      <w:r w:rsidRPr="00F539D0">
        <w:rPr>
          <w:rFonts w:ascii="Times New Roman" w:eastAsia="Times New Roman" w:hAnsi="Times New Roman" w:cs="Times New Roman"/>
          <w:sz w:val="20"/>
          <w:szCs w:val="20"/>
          <w:lang w:val="pl-PL"/>
        </w:rPr>
        <w:t>ed</w:t>
      </w:r>
      <w:r w:rsidR="00BE7C6D">
        <w:rPr>
          <w:rFonts w:ascii="Times New Roman" w:eastAsia="Times New Roman" w:hAnsi="Times New Roman" w:cs="Times New Roman"/>
          <w:sz w:val="20"/>
          <w:szCs w:val="20"/>
          <w:lang w:val="pl-PL"/>
        </w:rPr>
        <w:t>s</w:t>
      </w:r>
      <w:proofErr w:type="spellEnd"/>
      <w:r w:rsidRPr="00F539D0">
        <w:rPr>
          <w:rFonts w:ascii="Times New Roman" w:eastAsia="Times New Roman" w:hAnsi="Times New Roman" w:cs="Times New Roman"/>
          <w:sz w:val="20"/>
          <w:szCs w:val="20"/>
          <w:lang w:val="pl-PL"/>
        </w:rPr>
        <w:t xml:space="preserve">. M. Safjan, L. </w:t>
      </w:r>
      <w:proofErr w:type="spellStart"/>
      <w:r w:rsidRPr="00F539D0">
        <w:rPr>
          <w:rFonts w:ascii="Times New Roman" w:eastAsia="Times New Roman" w:hAnsi="Times New Roman" w:cs="Times New Roman"/>
          <w:sz w:val="20"/>
          <w:szCs w:val="20"/>
          <w:lang w:val="pl-PL"/>
        </w:rPr>
        <w:t>Bosek</w:t>
      </w:r>
      <w:proofErr w:type="spellEnd"/>
      <w:r w:rsidRPr="00F539D0">
        <w:rPr>
          <w:rFonts w:ascii="Times New Roman" w:eastAsia="Times New Roman" w:hAnsi="Times New Roman" w:cs="Times New Roman"/>
          <w:sz w:val="20"/>
          <w:szCs w:val="20"/>
          <w:lang w:val="pl-PL"/>
        </w:rPr>
        <w:t xml:space="preserve">, art. 178, </w:t>
      </w:r>
      <w:proofErr w:type="spellStart"/>
      <w:r w:rsidRPr="00F539D0">
        <w:rPr>
          <w:rFonts w:ascii="Times New Roman" w:eastAsia="Times New Roman" w:hAnsi="Times New Roman" w:cs="Times New Roman"/>
          <w:sz w:val="20"/>
          <w:szCs w:val="20"/>
          <w:lang w:val="pl-PL"/>
        </w:rPr>
        <w:t>bn</w:t>
      </w:r>
      <w:proofErr w:type="spellEnd"/>
      <w:r w:rsidRPr="00F539D0">
        <w:rPr>
          <w:rFonts w:ascii="Times New Roman" w:eastAsia="Times New Roman" w:hAnsi="Times New Roman" w:cs="Times New Roman"/>
          <w:sz w:val="20"/>
          <w:szCs w:val="20"/>
          <w:lang w:val="pl-PL"/>
        </w:rPr>
        <w:t xml:space="preserve"> 53.</w:t>
      </w:r>
    </w:p>
  </w:footnote>
  <w:footnote w:id="23">
    <w:p w14:paraId="00000052" w14:textId="6358A276" w:rsidR="003E18BF" w:rsidRPr="00F539D0" w:rsidRDefault="00233EC6">
      <w:pPr>
        <w:spacing w:line="240" w:lineRule="auto"/>
        <w:jc w:val="both"/>
        <w:rPr>
          <w:rFonts w:ascii="Times New Roman" w:eastAsia="Times New Roman" w:hAnsi="Times New Roman" w:cs="Times New Roman"/>
          <w:sz w:val="20"/>
          <w:szCs w:val="20"/>
          <w:lang w:val="pl-PL"/>
        </w:rPr>
      </w:pPr>
      <w:r>
        <w:rPr>
          <w:vertAlign w:val="superscript"/>
        </w:rPr>
        <w:footnoteRef/>
      </w:r>
      <w:r w:rsidRPr="00F539D0">
        <w:rPr>
          <w:rFonts w:ascii="Times New Roman" w:eastAsia="Times New Roman" w:hAnsi="Times New Roman" w:cs="Times New Roman"/>
          <w:sz w:val="20"/>
          <w:szCs w:val="20"/>
          <w:lang w:val="pl-PL"/>
        </w:rPr>
        <w:t xml:space="preserve"> A. Grabowski, </w:t>
      </w:r>
      <w:r w:rsidRPr="00F539D0">
        <w:rPr>
          <w:rFonts w:ascii="Times New Roman" w:eastAsia="Times New Roman" w:hAnsi="Times New Roman" w:cs="Times New Roman"/>
          <w:i/>
          <w:sz w:val="20"/>
          <w:szCs w:val="20"/>
          <w:lang w:val="pl-PL"/>
        </w:rPr>
        <w:t xml:space="preserve">Konstytucja RP jako lex superior względem prawa ustawowego (w ramach sądowego stosowania prawa), </w:t>
      </w:r>
      <w:r w:rsidRPr="00F539D0">
        <w:rPr>
          <w:rFonts w:ascii="Times New Roman" w:eastAsia="Times New Roman" w:hAnsi="Times New Roman" w:cs="Times New Roman"/>
          <w:sz w:val="20"/>
          <w:szCs w:val="20"/>
          <w:lang w:val="pl-PL"/>
        </w:rPr>
        <w:t>„Państwo i Prawo” 2022, vol. 10, p</w:t>
      </w:r>
      <w:r w:rsidR="00BE7C6D">
        <w:rPr>
          <w:rFonts w:ascii="Times New Roman" w:eastAsia="Times New Roman" w:hAnsi="Times New Roman" w:cs="Times New Roman"/>
          <w:sz w:val="20"/>
          <w:szCs w:val="20"/>
          <w:lang w:val="pl-PL"/>
        </w:rPr>
        <w:t>p</w:t>
      </w:r>
      <w:r w:rsidRPr="00F539D0">
        <w:rPr>
          <w:rFonts w:ascii="Times New Roman" w:eastAsia="Times New Roman" w:hAnsi="Times New Roman" w:cs="Times New Roman"/>
          <w:sz w:val="20"/>
          <w:szCs w:val="20"/>
          <w:lang w:val="pl-PL"/>
        </w:rPr>
        <w:t>. 46-47.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8BF"/>
    <w:rsid w:val="0006438A"/>
    <w:rsid w:val="00113192"/>
    <w:rsid w:val="00121349"/>
    <w:rsid w:val="00157679"/>
    <w:rsid w:val="00233EC6"/>
    <w:rsid w:val="00337CB8"/>
    <w:rsid w:val="0037312D"/>
    <w:rsid w:val="003E18BF"/>
    <w:rsid w:val="005A3BAC"/>
    <w:rsid w:val="00737F15"/>
    <w:rsid w:val="008D6F80"/>
    <w:rsid w:val="0094201B"/>
    <w:rsid w:val="00BD7A3B"/>
    <w:rsid w:val="00BE7C6D"/>
    <w:rsid w:val="00CE3CCE"/>
    <w:rsid w:val="00DD41E7"/>
    <w:rsid w:val="00ED4964"/>
    <w:rsid w:val="00F539D0"/>
    <w:rsid w:val="00F55A94"/>
    <w:rsid w:val="00FA0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2CA72"/>
  <w15:docId w15:val="{66810321-4C8F-4749-BC66-57C950A5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Poprawka">
    <w:name w:val="Revision"/>
    <w:hidden/>
    <w:uiPriority w:val="99"/>
    <w:semiHidden/>
    <w:rsid w:val="0012134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2025</Words>
  <Characters>11060</Characters>
  <Application>Microsoft Office Word</Application>
  <DocSecurity>0</DocSecurity>
  <Lines>149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Florczak-Wątor Monika</cp:lastModifiedBy>
  <cp:revision>4</cp:revision>
  <dcterms:created xsi:type="dcterms:W3CDTF">2024-03-22T23:15:00Z</dcterms:created>
  <dcterms:modified xsi:type="dcterms:W3CDTF">2024-03-22T23:15:00Z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daee83ef3ee9905deb0a86cc5a422d053ee6237acfed37a3b6d2f12bd296791c</vt:lpwstr>
  </property>
</Properties>
</file>