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6B8F1" w14:textId="4A04B613" w:rsidR="00FE301A" w:rsidRPr="00FE301A" w:rsidRDefault="00FE301A" w:rsidP="00FE301A">
      <w:pPr>
        <w:jc w:val="center"/>
        <w:rPr>
          <w:rFonts w:ascii="Times New Roman" w:hAnsi="Times New Roman" w:cs="Times New Roman"/>
          <w:b/>
          <w:bCs/>
          <w:sz w:val="24"/>
          <w:szCs w:val="24"/>
        </w:rPr>
      </w:pPr>
      <w:r w:rsidRPr="00FE301A">
        <w:rPr>
          <w:rFonts w:ascii="Times New Roman" w:hAnsi="Times New Roman" w:cs="Times New Roman"/>
          <w:b/>
          <w:bCs/>
          <w:sz w:val="24"/>
          <w:szCs w:val="24"/>
        </w:rPr>
        <w:t xml:space="preserve">Zuzanna </w:t>
      </w:r>
      <w:proofErr w:type="spellStart"/>
      <w:r w:rsidRPr="00FE301A">
        <w:rPr>
          <w:rFonts w:ascii="Times New Roman" w:hAnsi="Times New Roman" w:cs="Times New Roman"/>
          <w:b/>
          <w:bCs/>
          <w:sz w:val="24"/>
          <w:szCs w:val="24"/>
        </w:rPr>
        <w:t>Topyłło</w:t>
      </w:r>
      <w:proofErr w:type="spellEnd"/>
    </w:p>
    <w:p w14:paraId="24826FE8" w14:textId="26927625" w:rsidR="00FE301A" w:rsidRPr="00FE301A" w:rsidRDefault="40790E6B" w:rsidP="00FE301A">
      <w:pPr>
        <w:jc w:val="center"/>
        <w:rPr>
          <w:rFonts w:ascii="Times New Roman" w:hAnsi="Times New Roman" w:cs="Times New Roman"/>
          <w:b/>
          <w:bCs/>
          <w:sz w:val="24"/>
          <w:szCs w:val="24"/>
        </w:rPr>
      </w:pPr>
      <w:r w:rsidRPr="43E85BC1">
        <w:rPr>
          <w:rFonts w:ascii="Times New Roman" w:hAnsi="Times New Roman" w:cs="Times New Roman"/>
          <w:b/>
          <w:bCs/>
          <w:sz w:val="24"/>
          <w:szCs w:val="24"/>
        </w:rPr>
        <w:t>Outli</w:t>
      </w:r>
      <w:r w:rsidR="6BF2C250" w:rsidRPr="43E85BC1">
        <w:rPr>
          <w:rFonts w:ascii="Times New Roman" w:hAnsi="Times New Roman" w:cs="Times New Roman"/>
          <w:b/>
          <w:bCs/>
          <w:sz w:val="24"/>
          <w:szCs w:val="24"/>
        </w:rPr>
        <w:t>n</w:t>
      </w:r>
      <w:r w:rsidRPr="43E85BC1">
        <w:rPr>
          <w:rFonts w:ascii="Times New Roman" w:hAnsi="Times New Roman" w:cs="Times New Roman"/>
          <w:b/>
          <w:bCs/>
          <w:sz w:val="24"/>
          <w:szCs w:val="24"/>
        </w:rPr>
        <w:t xml:space="preserve">e </w:t>
      </w:r>
      <w:r w:rsidR="3C78E1D0" w:rsidRPr="43E85BC1">
        <w:rPr>
          <w:rFonts w:ascii="Times New Roman" w:hAnsi="Times New Roman" w:cs="Times New Roman"/>
          <w:b/>
          <w:bCs/>
          <w:sz w:val="24"/>
          <w:szCs w:val="24"/>
        </w:rPr>
        <w:t>of</w:t>
      </w:r>
      <w:r w:rsidR="22B20C2E" w:rsidRPr="43E85BC1">
        <w:rPr>
          <w:rFonts w:ascii="Times New Roman" w:hAnsi="Times New Roman" w:cs="Times New Roman"/>
          <w:b/>
          <w:bCs/>
          <w:sz w:val="24"/>
          <w:szCs w:val="24"/>
        </w:rPr>
        <w:t xml:space="preserve"> </w:t>
      </w:r>
      <w:r w:rsidR="068A62F7" w:rsidRPr="43E85BC1">
        <w:rPr>
          <w:rFonts w:ascii="Times New Roman" w:hAnsi="Times New Roman" w:cs="Times New Roman"/>
          <w:b/>
          <w:bCs/>
          <w:sz w:val="24"/>
          <w:szCs w:val="24"/>
        </w:rPr>
        <w:t xml:space="preserve">current </w:t>
      </w:r>
      <w:r w:rsidR="22B20C2E" w:rsidRPr="43E85BC1">
        <w:rPr>
          <w:rFonts w:ascii="Times New Roman" w:hAnsi="Times New Roman" w:cs="Times New Roman"/>
          <w:b/>
          <w:bCs/>
          <w:sz w:val="24"/>
          <w:szCs w:val="24"/>
        </w:rPr>
        <w:t>understanding</w:t>
      </w:r>
      <w:r w:rsidR="40DDB881" w:rsidRPr="43E85BC1">
        <w:rPr>
          <w:rFonts w:ascii="Times New Roman" w:hAnsi="Times New Roman" w:cs="Times New Roman"/>
          <w:b/>
          <w:bCs/>
          <w:sz w:val="24"/>
          <w:szCs w:val="24"/>
        </w:rPr>
        <w:t xml:space="preserve"> of</w:t>
      </w:r>
      <w:r w:rsidR="3C78E1D0" w:rsidRPr="43E85BC1">
        <w:rPr>
          <w:rFonts w:ascii="Times New Roman" w:hAnsi="Times New Roman" w:cs="Times New Roman"/>
          <w:b/>
          <w:bCs/>
          <w:sz w:val="24"/>
          <w:szCs w:val="24"/>
        </w:rPr>
        <w:t xml:space="preserve"> right to </w:t>
      </w:r>
      <w:r w:rsidR="32233362" w:rsidRPr="43E85BC1">
        <w:rPr>
          <w:rFonts w:ascii="Times New Roman" w:hAnsi="Times New Roman" w:cs="Times New Roman"/>
          <w:b/>
          <w:bCs/>
          <w:sz w:val="24"/>
          <w:szCs w:val="24"/>
        </w:rPr>
        <w:t>court in Poland</w:t>
      </w:r>
      <w:r w:rsidR="54A14CE9" w:rsidRPr="43E85BC1">
        <w:rPr>
          <w:rFonts w:ascii="Times New Roman" w:hAnsi="Times New Roman" w:cs="Times New Roman"/>
          <w:b/>
          <w:bCs/>
          <w:sz w:val="24"/>
          <w:szCs w:val="24"/>
        </w:rPr>
        <w:t xml:space="preserve"> – </w:t>
      </w:r>
      <w:r w:rsidR="4A3E74E8" w:rsidRPr="43E85BC1">
        <w:rPr>
          <w:rFonts w:ascii="Times New Roman" w:hAnsi="Times New Roman" w:cs="Times New Roman"/>
          <w:b/>
          <w:bCs/>
          <w:sz w:val="24"/>
          <w:szCs w:val="24"/>
        </w:rPr>
        <w:t xml:space="preserve">study </w:t>
      </w:r>
      <w:r w:rsidR="75A19121" w:rsidRPr="43E85BC1">
        <w:rPr>
          <w:rFonts w:ascii="Times New Roman" w:hAnsi="Times New Roman" w:cs="Times New Roman"/>
          <w:b/>
          <w:bCs/>
          <w:sz w:val="24"/>
          <w:szCs w:val="24"/>
        </w:rPr>
        <w:t>of legal acts and case law</w:t>
      </w:r>
    </w:p>
    <w:p w14:paraId="0EED2C7B" w14:textId="0C662E07" w:rsidR="005E6798" w:rsidRPr="00C502B3" w:rsidRDefault="005E6798" w:rsidP="00EB72FA">
      <w:pPr>
        <w:jc w:val="both"/>
        <w:rPr>
          <w:rFonts w:ascii="Times New Roman" w:hAnsi="Times New Roman" w:cs="Times New Roman"/>
          <w:sz w:val="24"/>
          <w:szCs w:val="24"/>
        </w:rPr>
      </w:pPr>
      <w:r w:rsidRPr="00C502B3">
        <w:rPr>
          <w:rFonts w:ascii="Times New Roman" w:hAnsi="Times New Roman" w:cs="Times New Roman"/>
          <w:sz w:val="24"/>
          <w:szCs w:val="24"/>
        </w:rPr>
        <w:t>The starting point for considering the issue of the right to a court in Poland is Article 45 of the Polish Constitution, where this right is explicitly expressed</w:t>
      </w:r>
      <w:r w:rsidR="00C502B3">
        <w:rPr>
          <w:rStyle w:val="Odwoanieprzypisudolnego"/>
          <w:rFonts w:ascii="Times New Roman" w:hAnsi="Times New Roman" w:cs="Times New Roman"/>
          <w:sz w:val="24"/>
          <w:szCs w:val="24"/>
        </w:rPr>
        <w:footnoteReference w:id="1"/>
      </w:r>
      <w:r w:rsidRPr="00C502B3">
        <w:rPr>
          <w:rFonts w:ascii="Times New Roman" w:hAnsi="Times New Roman" w:cs="Times New Roman"/>
          <w:sz w:val="24"/>
          <w:szCs w:val="24"/>
        </w:rPr>
        <w:t xml:space="preserve">. It states: </w:t>
      </w:r>
      <w:r w:rsidRPr="43E85BC1">
        <w:rPr>
          <w:rFonts w:ascii="Times New Roman" w:hAnsi="Times New Roman" w:cs="Times New Roman"/>
          <w:i/>
          <w:iCs/>
          <w:sz w:val="24"/>
          <w:szCs w:val="24"/>
        </w:rPr>
        <w:t>Everyone shall have the right to a fair and public hearing of his case, without undue delay, before a competent, impartial and independent court</w:t>
      </w:r>
      <w:r w:rsidRPr="00C502B3">
        <w:rPr>
          <w:rFonts w:ascii="Times New Roman" w:hAnsi="Times New Roman" w:cs="Times New Roman"/>
          <w:sz w:val="24"/>
          <w:szCs w:val="24"/>
        </w:rPr>
        <w:t>. The right to a court in Poland is therefore complex in nature, and the case law itself distinguishes at least three of its elements</w:t>
      </w:r>
      <w:r w:rsidR="005E4EA6">
        <w:rPr>
          <w:rStyle w:val="Odwoanieprzypisudolnego"/>
          <w:rFonts w:ascii="Times New Roman" w:hAnsi="Times New Roman" w:cs="Times New Roman"/>
          <w:sz w:val="24"/>
          <w:szCs w:val="24"/>
        </w:rPr>
        <w:footnoteReference w:id="2"/>
      </w:r>
      <w:r w:rsidRPr="00C502B3">
        <w:rPr>
          <w:rFonts w:ascii="Times New Roman" w:hAnsi="Times New Roman" w:cs="Times New Roman"/>
          <w:sz w:val="24"/>
          <w:szCs w:val="24"/>
        </w:rPr>
        <w:t xml:space="preserve">: </w:t>
      </w:r>
    </w:p>
    <w:p w14:paraId="456282D9" w14:textId="2BEE3E78" w:rsidR="00EB72FA" w:rsidRPr="00C502B3" w:rsidRDefault="006C40EC" w:rsidP="00EB72FA">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A</w:t>
      </w:r>
      <w:r w:rsidR="005E6798" w:rsidRPr="00C502B3">
        <w:rPr>
          <w:rFonts w:ascii="Times New Roman" w:hAnsi="Times New Roman" w:cs="Times New Roman"/>
          <w:sz w:val="24"/>
          <w:szCs w:val="24"/>
        </w:rPr>
        <w:t xml:space="preserve">ccess to </w:t>
      </w:r>
      <w:r w:rsidR="009C232E">
        <w:rPr>
          <w:rFonts w:ascii="Times New Roman" w:hAnsi="Times New Roman" w:cs="Times New Roman"/>
          <w:sz w:val="24"/>
          <w:szCs w:val="24"/>
        </w:rPr>
        <w:t>a</w:t>
      </w:r>
      <w:r w:rsidRPr="00C502B3">
        <w:rPr>
          <w:rFonts w:ascii="Times New Roman" w:hAnsi="Times New Roman" w:cs="Times New Roman"/>
          <w:sz w:val="24"/>
          <w:szCs w:val="24"/>
        </w:rPr>
        <w:t xml:space="preserve"> </w:t>
      </w:r>
      <w:r w:rsidR="005E6798" w:rsidRPr="00C502B3">
        <w:rPr>
          <w:rFonts w:ascii="Times New Roman" w:hAnsi="Times New Roman" w:cs="Times New Roman"/>
          <w:sz w:val="24"/>
          <w:szCs w:val="24"/>
        </w:rPr>
        <w:t>court as a</w:t>
      </w:r>
      <w:r>
        <w:rPr>
          <w:rFonts w:ascii="Times New Roman" w:hAnsi="Times New Roman" w:cs="Times New Roman"/>
          <w:sz w:val="24"/>
          <w:szCs w:val="24"/>
        </w:rPr>
        <w:t>n independent and impartial</w:t>
      </w:r>
      <w:r w:rsidR="005E6798" w:rsidRPr="00C502B3">
        <w:rPr>
          <w:rFonts w:ascii="Times New Roman" w:hAnsi="Times New Roman" w:cs="Times New Roman"/>
          <w:sz w:val="24"/>
          <w:szCs w:val="24"/>
        </w:rPr>
        <w:t xml:space="preserve"> body. The first attribute – independence </w:t>
      </w:r>
      <w:r w:rsidR="00A97E2C" w:rsidRPr="43E85BC1">
        <w:rPr>
          <w:rFonts w:ascii="Times New Roman" w:hAnsi="Times New Roman" w:cs="Times New Roman"/>
          <w:sz w:val="24"/>
          <w:szCs w:val="24"/>
        </w:rPr>
        <w:t>–</w:t>
      </w:r>
      <w:r w:rsidR="005E6798" w:rsidRPr="00C502B3">
        <w:rPr>
          <w:rFonts w:ascii="Times New Roman" w:hAnsi="Times New Roman" w:cs="Times New Roman"/>
          <w:sz w:val="24"/>
          <w:szCs w:val="24"/>
        </w:rPr>
        <w:t xml:space="preserve"> is of an external nature and determines the specificity of the relationship between the judiciary and the other authorities. According to the Constitutional Tribunal’s judgement </w:t>
      </w:r>
      <w:r w:rsidR="002C5DDC" w:rsidRPr="43E85BC1">
        <w:rPr>
          <w:rFonts w:ascii="Times New Roman" w:hAnsi="Times New Roman" w:cs="Times New Roman"/>
          <w:sz w:val="24"/>
          <w:szCs w:val="24"/>
        </w:rPr>
        <w:t>issued</w:t>
      </w:r>
      <w:r w:rsidR="6C4B8552" w:rsidRPr="43E85BC1">
        <w:rPr>
          <w:rFonts w:ascii="Times New Roman" w:hAnsi="Times New Roman" w:cs="Times New Roman"/>
          <w:sz w:val="24"/>
          <w:szCs w:val="24"/>
        </w:rPr>
        <w:t xml:space="preserve"> </w:t>
      </w:r>
      <w:r w:rsidR="002C5DDC">
        <w:rPr>
          <w:rFonts w:ascii="Times New Roman" w:hAnsi="Times New Roman" w:cs="Times New Roman"/>
          <w:sz w:val="24"/>
          <w:szCs w:val="24"/>
        </w:rPr>
        <w:t xml:space="preserve">in the </w:t>
      </w:r>
      <w:r w:rsidR="005E6798" w:rsidRPr="00C502B3">
        <w:rPr>
          <w:rFonts w:ascii="Times New Roman" w:hAnsi="Times New Roman" w:cs="Times New Roman"/>
          <w:sz w:val="24"/>
          <w:szCs w:val="24"/>
        </w:rPr>
        <w:t xml:space="preserve">case K 28/04, the principle of independence </w:t>
      </w:r>
      <w:r w:rsidR="00F147EF">
        <w:rPr>
          <w:rFonts w:ascii="Times New Roman" w:hAnsi="Times New Roman" w:cs="Times New Roman"/>
          <w:sz w:val="24"/>
          <w:szCs w:val="24"/>
        </w:rPr>
        <w:t>refers to</w:t>
      </w:r>
      <w:r w:rsidR="00F147EF" w:rsidRPr="00C502B3">
        <w:rPr>
          <w:rFonts w:ascii="Times New Roman" w:hAnsi="Times New Roman" w:cs="Times New Roman"/>
          <w:sz w:val="24"/>
          <w:szCs w:val="24"/>
        </w:rPr>
        <w:t xml:space="preserve"> </w:t>
      </w:r>
      <w:r w:rsidR="005E6798" w:rsidRPr="00C502B3">
        <w:rPr>
          <w:rFonts w:ascii="Times New Roman" w:hAnsi="Times New Roman" w:cs="Times New Roman"/>
          <w:sz w:val="24"/>
          <w:szCs w:val="24"/>
        </w:rPr>
        <w:t xml:space="preserve">the </w:t>
      </w:r>
      <w:r w:rsidR="003A48E6">
        <w:rPr>
          <w:rFonts w:ascii="Times New Roman" w:hAnsi="Times New Roman" w:cs="Times New Roman"/>
          <w:sz w:val="24"/>
          <w:szCs w:val="24"/>
        </w:rPr>
        <w:t>exclusive authority</w:t>
      </w:r>
      <w:r w:rsidR="005E6798" w:rsidRPr="00C502B3">
        <w:rPr>
          <w:rFonts w:ascii="Times New Roman" w:hAnsi="Times New Roman" w:cs="Times New Roman"/>
          <w:sz w:val="24"/>
          <w:szCs w:val="24"/>
        </w:rPr>
        <w:t xml:space="preserve"> of the courts in </w:t>
      </w:r>
      <w:r w:rsidR="005E6798" w:rsidRPr="00C502B3" w:rsidDel="007453F0">
        <w:rPr>
          <w:rFonts w:ascii="Times New Roman" w:hAnsi="Times New Roman" w:cs="Times New Roman"/>
          <w:sz w:val="24"/>
          <w:szCs w:val="24"/>
        </w:rPr>
        <w:t xml:space="preserve">the </w:t>
      </w:r>
      <w:r w:rsidR="005E6798" w:rsidRPr="00C502B3">
        <w:rPr>
          <w:rFonts w:ascii="Times New Roman" w:hAnsi="Times New Roman" w:cs="Times New Roman"/>
          <w:sz w:val="24"/>
          <w:szCs w:val="24"/>
        </w:rPr>
        <w:t>administ</w:t>
      </w:r>
      <w:r w:rsidR="005E6798" w:rsidRPr="00C502B3" w:rsidDel="007453F0">
        <w:rPr>
          <w:rFonts w:ascii="Times New Roman" w:hAnsi="Times New Roman" w:cs="Times New Roman"/>
          <w:sz w:val="24"/>
          <w:szCs w:val="24"/>
        </w:rPr>
        <w:t>ration</w:t>
      </w:r>
      <w:r w:rsidR="005E6798" w:rsidRPr="00C502B3">
        <w:rPr>
          <w:rFonts w:ascii="Times New Roman" w:hAnsi="Times New Roman" w:cs="Times New Roman"/>
          <w:sz w:val="24"/>
          <w:szCs w:val="24"/>
        </w:rPr>
        <w:t xml:space="preserve"> </w:t>
      </w:r>
      <w:r w:rsidR="005E6798" w:rsidRPr="00C502B3" w:rsidDel="007453F0">
        <w:rPr>
          <w:rFonts w:ascii="Times New Roman" w:hAnsi="Times New Roman" w:cs="Times New Roman"/>
          <w:sz w:val="24"/>
          <w:szCs w:val="24"/>
        </w:rPr>
        <w:t xml:space="preserve">of </w:t>
      </w:r>
      <w:r w:rsidR="005E6798" w:rsidRPr="00C502B3">
        <w:rPr>
          <w:rFonts w:ascii="Times New Roman" w:hAnsi="Times New Roman" w:cs="Times New Roman"/>
          <w:sz w:val="24"/>
          <w:szCs w:val="24"/>
        </w:rPr>
        <w:t>justice, and therefore the absence of any external influence in the field of adjudication. This feature, according to the Constitutional Tribunal, is also associated with the absence of any interference in the structure, composition and operation of the judiciary</w:t>
      </w:r>
      <w:r w:rsidR="005E4EA6">
        <w:rPr>
          <w:rStyle w:val="Odwoanieprzypisudolnego"/>
          <w:rFonts w:ascii="Times New Roman" w:hAnsi="Times New Roman" w:cs="Times New Roman"/>
          <w:sz w:val="24"/>
          <w:szCs w:val="24"/>
        </w:rPr>
        <w:footnoteReference w:id="3"/>
      </w:r>
      <w:r w:rsidR="005E6798" w:rsidRPr="00C502B3">
        <w:rPr>
          <w:rFonts w:ascii="Times New Roman" w:hAnsi="Times New Roman" w:cs="Times New Roman"/>
          <w:sz w:val="24"/>
          <w:szCs w:val="24"/>
        </w:rPr>
        <w:t xml:space="preserve">. The second requirement </w:t>
      </w:r>
      <w:r w:rsidR="00953C2F" w:rsidRPr="43E85BC1">
        <w:rPr>
          <w:rFonts w:ascii="Times New Roman" w:hAnsi="Times New Roman" w:cs="Times New Roman"/>
          <w:sz w:val="24"/>
          <w:szCs w:val="24"/>
        </w:rPr>
        <w:t>–</w:t>
      </w:r>
      <w:r w:rsidR="005E6798" w:rsidRPr="00C502B3">
        <w:rPr>
          <w:rFonts w:ascii="Times New Roman" w:hAnsi="Times New Roman" w:cs="Times New Roman"/>
          <w:sz w:val="24"/>
          <w:szCs w:val="24"/>
        </w:rPr>
        <w:t xml:space="preserve"> i</w:t>
      </w:r>
      <w:r w:rsidR="00DD3E09">
        <w:rPr>
          <w:rFonts w:ascii="Times New Roman" w:hAnsi="Times New Roman" w:cs="Times New Roman"/>
          <w:sz w:val="24"/>
          <w:szCs w:val="24"/>
        </w:rPr>
        <w:t>mpartiality</w:t>
      </w:r>
      <w:r w:rsidR="005E6798" w:rsidRPr="00C502B3">
        <w:rPr>
          <w:rFonts w:ascii="Times New Roman" w:hAnsi="Times New Roman" w:cs="Times New Roman"/>
          <w:sz w:val="24"/>
          <w:szCs w:val="24"/>
        </w:rPr>
        <w:t xml:space="preserve"> </w:t>
      </w:r>
      <w:r w:rsidR="00953C2F" w:rsidRPr="43E85BC1">
        <w:rPr>
          <w:rFonts w:ascii="Times New Roman" w:hAnsi="Times New Roman" w:cs="Times New Roman"/>
          <w:sz w:val="24"/>
          <w:szCs w:val="24"/>
        </w:rPr>
        <w:t>–</w:t>
      </w:r>
      <w:r w:rsidR="005E6798" w:rsidRPr="00C502B3">
        <w:rPr>
          <w:rFonts w:ascii="Times New Roman" w:hAnsi="Times New Roman" w:cs="Times New Roman"/>
          <w:sz w:val="24"/>
          <w:szCs w:val="24"/>
        </w:rPr>
        <w:t xml:space="preserve"> as an internal criterion is directed at judges and concerns their preservation of objectivity towards the parties</w:t>
      </w:r>
      <w:r w:rsidR="005E4EA6">
        <w:rPr>
          <w:rStyle w:val="Odwoanieprzypisudolnego"/>
          <w:rFonts w:ascii="Times New Roman" w:hAnsi="Times New Roman" w:cs="Times New Roman"/>
          <w:sz w:val="24"/>
          <w:szCs w:val="24"/>
        </w:rPr>
        <w:footnoteReference w:id="4"/>
      </w:r>
      <w:r w:rsidR="005E6798" w:rsidRPr="00C502B3">
        <w:rPr>
          <w:rFonts w:ascii="Times New Roman" w:hAnsi="Times New Roman" w:cs="Times New Roman"/>
          <w:sz w:val="24"/>
          <w:szCs w:val="24"/>
        </w:rPr>
        <w:t>.</w:t>
      </w:r>
      <w:r w:rsidR="005E4EA6">
        <w:rPr>
          <w:rStyle w:val="Odwoanieprzypisudolnego"/>
          <w:rFonts w:ascii="Times New Roman" w:hAnsi="Times New Roman" w:cs="Times New Roman"/>
          <w:sz w:val="24"/>
          <w:szCs w:val="24"/>
        </w:rPr>
        <w:footnoteReference w:id="5"/>
      </w:r>
    </w:p>
    <w:p w14:paraId="2CFCC506" w14:textId="11C02FAB" w:rsidR="00EB72FA" w:rsidRPr="00C502B3" w:rsidRDefault="0027038D" w:rsidP="00EB72FA">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R</w:t>
      </w:r>
      <w:r w:rsidR="005E6798" w:rsidRPr="00C502B3">
        <w:rPr>
          <w:rFonts w:ascii="Times New Roman" w:hAnsi="Times New Roman" w:cs="Times New Roman"/>
          <w:sz w:val="24"/>
          <w:szCs w:val="24"/>
        </w:rPr>
        <w:t>ight to a fair and public hearing. The right to a fair trial relates to the proper form of judicial proceedings and involves, for example, the right to the assistance of counsel or to appeal judgments and decisions rendered at first instance</w:t>
      </w:r>
      <w:r w:rsidR="0037029F">
        <w:rPr>
          <w:rStyle w:val="Odwoanieprzypisudolnego"/>
          <w:rFonts w:ascii="Times New Roman" w:hAnsi="Times New Roman" w:cs="Times New Roman"/>
          <w:sz w:val="24"/>
          <w:szCs w:val="24"/>
        </w:rPr>
        <w:footnoteReference w:id="6"/>
      </w:r>
      <w:r w:rsidR="005E6798" w:rsidRPr="00C502B3">
        <w:rPr>
          <w:rFonts w:ascii="Times New Roman" w:hAnsi="Times New Roman" w:cs="Times New Roman"/>
          <w:sz w:val="24"/>
          <w:szCs w:val="24"/>
        </w:rPr>
        <w:t xml:space="preserve">. Openness, on the other hand, refers to the right of the parties to take part in the proceedings and </w:t>
      </w:r>
      <w:r w:rsidR="00EB72FA" w:rsidRPr="00C502B3">
        <w:rPr>
          <w:rFonts w:ascii="Times New Roman" w:hAnsi="Times New Roman" w:cs="Times New Roman"/>
          <w:sz w:val="24"/>
          <w:szCs w:val="24"/>
        </w:rPr>
        <w:t xml:space="preserve">allowing </w:t>
      </w:r>
      <w:r w:rsidR="005E6798" w:rsidRPr="00C502B3">
        <w:rPr>
          <w:rFonts w:ascii="Times New Roman" w:hAnsi="Times New Roman" w:cs="Times New Roman"/>
          <w:sz w:val="24"/>
          <w:szCs w:val="24"/>
        </w:rPr>
        <w:t xml:space="preserve">the public </w:t>
      </w:r>
      <w:r w:rsidR="00EB72FA" w:rsidRPr="00C502B3">
        <w:rPr>
          <w:rFonts w:ascii="Times New Roman" w:hAnsi="Times New Roman" w:cs="Times New Roman"/>
          <w:sz w:val="24"/>
          <w:szCs w:val="24"/>
        </w:rPr>
        <w:t xml:space="preserve">to </w:t>
      </w:r>
      <w:r w:rsidR="005E6798" w:rsidRPr="00C502B3">
        <w:rPr>
          <w:rFonts w:ascii="Times New Roman" w:hAnsi="Times New Roman" w:cs="Times New Roman"/>
          <w:sz w:val="24"/>
          <w:szCs w:val="24"/>
        </w:rPr>
        <w:t>access to court hearings</w:t>
      </w:r>
      <w:r w:rsidR="0037029F">
        <w:rPr>
          <w:rStyle w:val="Odwoanieprzypisudolnego"/>
          <w:rFonts w:ascii="Times New Roman" w:hAnsi="Times New Roman" w:cs="Times New Roman"/>
          <w:sz w:val="24"/>
          <w:szCs w:val="24"/>
        </w:rPr>
        <w:footnoteReference w:id="7"/>
      </w:r>
      <w:r w:rsidR="005E6798" w:rsidRPr="00C502B3">
        <w:rPr>
          <w:rFonts w:ascii="Times New Roman" w:hAnsi="Times New Roman" w:cs="Times New Roman"/>
          <w:sz w:val="24"/>
          <w:szCs w:val="24"/>
        </w:rPr>
        <w:t xml:space="preserve">. </w:t>
      </w:r>
    </w:p>
    <w:p w14:paraId="1E787077" w14:textId="64248E77" w:rsidR="00EB72FA" w:rsidRPr="00C502B3" w:rsidRDefault="00B93C9C" w:rsidP="00EB72FA">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R</w:t>
      </w:r>
      <w:r w:rsidR="005E6798" w:rsidRPr="00C502B3">
        <w:rPr>
          <w:rFonts w:ascii="Times New Roman" w:hAnsi="Times New Roman" w:cs="Times New Roman"/>
          <w:sz w:val="24"/>
          <w:szCs w:val="24"/>
        </w:rPr>
        <w:t xml:space="preserve">ight to a judgment understood as a binding settlement of </w:t>
      </w:r>
      <w:r w:rsidR="00B54EAE">
        <w:rPr>
          <w:rFonts w:ascii="Times New Roman" w:hAnsi="Times New Roman" w:cs="Times New Roman"/>
          <w:sz w:val="24"/>
          <w:szCs w:val="24"/>
        </w:rPr>
        <w:t>a</w:t>
      </w:r>
      <w:r w:rsidR="00B54EAE" w:rsidRPr="00C502B3">
        <w:rPr>
          <w:rFonts w:ascii="Times New Roman" w:hAnsi="Times New Roman" w:cs="Times New Roman"/>
          <w:sz w:val="24"/>
          <w:szCs w:val="24"/>
        </w:rPr>
        <w:t xml:space="preserve"> </w:t>
      </w:r>
      <w:r w:rsidR="005E6798" w:rsidRPr="00C502B3">
        <w:rPr>
          <w:rFonts w:ascii="Times New Roman" w:hAnsi="Times New Roman" w:cs="Times New Roman"/>
          <w:sz w:val="24"/>
          <w:szCs w:val="24"/>
        </w:rPr>
        <w:t xml:space="preserve">dispute issued by </w:t>
      </w:r>
      <w:r w:rsidR="31309580" w:rsidRPr="00C502B3">
        <w:rPr>
          <w:rFonts w:ascii="Times New Roman" w:hAnsi="Times New Roman" w:cs="Times New Roman"/>
          <w:sz w:val="24"/>
          <w:szCs w:val="24"/>
        </w:rPr>
        <w:t>a</w:t>
      </w:r>
      <w:r w:rsidR="005E6798" w:rsidRPr="00C502B3">
        <w:rPr>
          <w:rFonts w:ascii="Times New Roman" w:hAnsi="Times New Roman" w:cs="Times New Roman"/>
          <w:sz w:val="24"/>
          <w:szCs w:val="24"/>
        </w:rPr>
        <w:t xml:space="preserve"> court</w:t>
      </w:r>
      <w:r w:rsidR="0037029F">
        <w:rPr>
          <w:rStyle w:val="Odwoanieprzypisudolnego"/>
          <w:rFonts w:ascii="Times New Roman" w:hAnsi="Times New Roman" w:cs="Times New Roman"/>
          <w:sz w:val="24"/>
          <w:szCs w:val="24"/>
        </w:rPr>
        <w:footnoteReference w:id="8"/>
      </w:r>
      <w:r w:rsidR="005E6798" w:rsidRPr="00C502B3">
        <w:rPr>
          <w:rFonts w:ascii="Times New Roman" w:hAnsi="Times New Roman" w:cs="Times New Roman"/>
          <w:sz w:val="24"/>
          <w:szCs w:val="24"/>
        </w:rPr>
        <w:t xml:space="preserve">. </w:t>
      </w:r>
    </w:p>
    <w:p w14:paraId="08CF03FA" w14:textId="4B904CDC" w:rsidR="00EB72FA" w:rsidRPr="00C502B3" w:rsidRDefault="005E6798" w:rsidP="00EB72FA">
      <w:pPr>
        <w:ind w:left="360"/>
        <w:jc w:val="both"/>
        <w:rPr>
          <w:rFonts w:ascii="Times New Roman" w:hAnsi="Times New Roman" w:cs="Times New Roman"/>
          <w:sz w:val="24"/>
          <w:szCs w:val="24"/>
        </w:rPr>
      </w:pPr>
      <w:r w:rsidRPr="43E85BC1">
        <w:rPr>
          <w:rFonts w:ascii="Times New Roman" w:hAnsi="Times New Roman" w:cs="Times New Roman"/>
          <w:sz w:val="24"/>
          <w:szCs w:val="24"/>
        </w:rPr>
        <w:t>The shape of the right to a court internationally is determined, among other</w:t>
      </w:r>
      <w:r w:rsidR="00EB72FA" w:rsidRPr="43E85BC1">
        <w:rPr>
          <w:rFonts w:ascii="Times New Roman" w:hAnsi="Times New Roman" w:cs="Times New Roman"/>
          <w:sz w:val="24"/>
          <w:szCs w:val="24"/>
        </w:rPr>
        <w:t>s</w:t>
      </w:r>
      <w:r w:rsidRPr="43E85BC1">
        <w:rPr>
          <w:rFonts w:ascii="Times New Roman" w:hAnsi="Times New Roman" w:cs="Times New Roman"/>
          <w:sz w:val="24"/>
          <w:szCs w:val="24"/>
        </w:rPr>
        <w:t xml:space="preserve">, by Article 47 of the </w:t>
      </w:r>
      <w:r w:rsidR="00E938A8" w:rsidRPr="43E85BC1">
        <w:rPr>
          <w:rFonts w:ascii="Times New Roman" w:hAnsi="Times New Roman" w:cs="Times New Roman"/>
          <w:sz w:val="24"/>
          <w:szCs w:val="24"/>
        </w:rPr>
        <w:t>CFR</w:t>
      </w:r>
      <w:r w:rsidRPr="43E85BC1">
        <w:rPr>
          <w:rStyle w:val="Odwoanieprzypisudolnego"/>
          <w:rFonts w:ascii="Times New Roman" w:hAnsi="Times New Roman" w:cs="Times New Roman"/>
          <w:sz w:val="24"/>
          <w:szCs w:val="24"/>
        </w:rPr>
        <w:footnoteReference w:id="9"/>
      </w:r>
      <w:r w:rsidRPr="43E85BC1">
        <w:rPr>
          <w:rStyle w:val="Odwoanieprzypisudolnego"/>
          <w:rFonts w:ascii="Times New Roman" w:hAnsi="Times New Roman" w:cs="Times New Roman"/>
          <w:sz w:val="24"/>
          <w:szCs w:val="24"/>
        </w:rPr>
        <w:footnoteReference w:id="10"/>
      </w:r>
      <w:r w:rsidRPr="43E85BC1">
        <w:rPr>
          <w:rFonts w:ascii="Times New Roman" w:hAnsi="Times New Roman" w:cs="Times New Roman"/>
          <w:sz w:val="24"/>
          <w:szCs w:val="24"/>
        </w:rPr>
        <w:t xml:space="preserve"> and Article 6(1) of the ECHR.</w:t>
      </w:r>
    </w:p>
    <w:p w14:paraId="6C5EE5FE" w14:textId="63E45178" w:rsidR="00EB72FA" w:rsidRPr="00C502B3" w:rsidRDefault="005E6798" w:rsidP="00EB72FA">
      <w:pPr>
        <w:ind w:left="360"/>
        <w:jc w:val="both"/>
        <w:rPr>
          <w:rFonts w:ascii="Times New Roman" w:hAnsi="Times New Roman" w:cs="Times New Roman"/>
          <w:sz w:val="24"/>
          <w:szCs w:val="24"/>
        </w:rPr>
      </w:pPr>
      <w:r w:rsidRPr="00C502B3">
        <w:rPr>
          <w:rFonts w:ascii="Times New Roman" w:hAnsi="Times New Roman" w:cs="Times New Roman"/>
          <w:sz w:val="24"/>
          <w:szCs w:val="24"/>
        </w:rPr>
        <w:lastRenderedPageBreak/>
        <w:t xml:space="preserve">According to the </w:t>
      </w:r>
      <w:r w:rsidR="00EB72FA" w:rsidRPr="00C502B3">
        <w:rPr>
          <w:rFonts w:ascii="Times New Roman" w:hAnsi="Times New Roman" w:cs="Times New Roman"/>
          <w:sz w:val="24"/>
          <w:szCs w:val="24"/>
        </w:rPr>
        <w:t>judicature</w:t>
      </w:r>
      <w:r w:rsidRPr="00C502B3">
        <w:rPr>
          <w:rFonts w:ascii="Times New Roman" w:hAnsi="Times New Roman" w:cs="Times New Roman"/>
          <w:sz w:val="24"/>
          <w:szCs w:val="24"/>
        </w:rPr>
        <w:t xml:space="preserve"> of the CJEU, among the conditions that a body should meet in order to </w:t>
      </w:r>
      <w:r w:rsidR="00213E16">
        <w:rPr>
          <w:rFonts w:ascii="Times New Roman" w:hAnsi="Times New Roman" w:cs="Times New Roman"/>
          <w:sz w:val="24"/>
          <w:szCs w:val="24"/>
        </w:rPr>
        <w:t>be considered</w:t>
      </w:r>
      <w:r w:rsidR="00213E16" w:rsidRPr="00C502B3">
        <w:rPr>
          <w:rFonts w:ascii="Times New Roman" w:hAnsi="Times New Roman" w:cs="Times New Roman"/>
          <w:sz w:val="24"/>
          <w:szCs w:val="24"/>
        </w:rPr>
        <w:t xml:space="preserve"> </w:t>
      </w:r>
      <w:r w:rsidRPr="00C502B3">
        <w:rPr>
          <w:rFonts w:ascii="Times New Roman" w:hAnsi="Times New Roman" w:cs="Times New Roman"/>
          <w:sz w:val="24"/>
          <w:szCs w:val="24"/>
        </w:rPr>
        <w:t xml:space="preserve">a </w:t>
      </w:r>
      <w:r w:rsidR="00A5520D">
        <w:rPr>
          <w:rFonts w:ascii="Times New Roman" w:hAnsi="Times New Roman" w:cs="Times New Roman"/>
          <w:sz w:val="24"/>
          <w:szCs w:val="24"/>
        </w:rPr>
        <w:t>’</w:t>
      </w:r>
      <w:r w:rsidRPr="00C502B3">
        <w:rPr>
          <w:rFonts w:ascii="Times New Roman" w:hAnsi="Times New Roman" w:cs="Times New Roman"/>
          <w:sz w:val="24"/>
          <w:szCs w:val="24"/>
        </w:rPr>
        <w:t>court</w:t>
      </w:r>
      <w:r w:rsidR="00A5520D">
        <w:rPr>
          <w:rFonts w:ascii="Times New Roman" w:hAnsi="Times New Roman" w:cs="Times New Roman"/>
          <w:sz w:val="24"/>
          <w:szCs w:val="24"/>
        </w:rPr>
        <w:t>‘</w:t>
      </w:r>
      <w:r w:rsidR="00A5520D" w:rsidRPr="00C502B3">
        <w:rPr>
          <w:rFonts w:ascii="Times New Roman" w:hAnsi="Times New Roman" w:cs="Times New Roman"/>
          <w:sz w:val="24"/>
          <w:szCs w:val="24"/>
        </w:rPr>
        <w:t xml:space="preserve"> </w:t>
      </w:r>
      <w:r w:rsidR="00213E16">
        <w:rPr>
          <w:rFonts w:ascii="Times New Roman" w:hAnsi="Times New Roman" w:cs="Times New Roman"/>
          <w:sz w:val="24"/>
          <w:szCs w:val="24"/>
        </w:rPr>
        <w:t>under the</w:t>
      </w:r>
      <w:r w:rsidRPr="00C502B3">
        <w:rPr>
          <w:rFonts w:ascii="Times New Roman" w:hAnsi="Times New Roman" w:cs="Times New Roman"/>
          <w:sz w:val="24"/>
          <w:szCs w:val="24"/>
        </w:rPr>
        <w:t xml:space="preserve"> EU law are: the </w:t>
      </w:r>
      <w:r w:rsidR="00AC3C36" w:rsidRPr="00C502B3">
        <w:rPr>
          <w:rFonts w:ascii="Times New Roman" w:hAnsi="Times New Roman" w:cs="Times New Roman"/>
          <w:sz w:val="24"/>
          <w:szCs w:val="24"/>
        </w:rPr>
        <w:t>establishment by the law</w:t>
      </w:r>
      <w:r w:rsidRPr="00C502B3">
        <w:rPr>
          <w:rFonts w:ascii="Times New Roman" w:hAnsi="Times New Roman" w:cs="Times New Roman"/>
          <w:sz w:val="24"/>
          <w:szCs w:val="24"/>
        </w:rPr>
        <w:t xml:space="preserve">, its permanent nature, the </w:t>
      </w:r>
      <w:r w:rsidR="00AC3C36" w:rsidRPr="00C502B3">
        <w:rPr>
          <w:rFonts w:ascii="Times New Roman" w:hAnsi="Times New Roman" w:cs="Times New Roman"/>
          <w:sz w:val="24"/>
          <w:szCs w:val="24"/>
        </w:rPr>
        <w:t xml:space="preserve">compulsory </w:t>
      </w:r>
      <w:r w:rsidRPr="00C502B3">
        <w:rPr>
          <w:rFonts w:ascii="Times New Roman" w:hAnsi="Times New Roman" w:cs="Times New Roman"/>
          <w:sz w:val="24"/>
          <w:szCs w:val="24"/>
        </w:rPr>
        <w:t xml:space="preserve">jurisdiction, the </w:t>
      </w:r>
      <w:proofErr w:type="spellStart"/>
      <w:r w:rsidR="00AC3C36" w:rsidRPr="00C502B3">
        <w:rPr>
          <w:rFonts w:ascii="Times New Roman" w:hAnsi="Times New Roman" w:cs="Times New Roman"/>
          <w:sz w:val="24"/>
          <w:szCs w:val="24"/>
        </w:rPr>
        <w:t>adversariality</w:t>
      </w:r>
      <w:proofErr w:type="spellEnd"/>
      <w:r w:rsidRPr="00C502B3">
        <w:rPr>
          <w:rFonts w:ascii="Times New Roman" w:hAnsi="Times New Roman" w:cs="Times New Roman"/>
          <w:sz w:val="24"/>
          <w:szCs w:val="24"/>
        </w:rPr>
        <w:t xml:space="preserve"> </w:t>
      </w:r>
      <w:r w:rsidR="00AC3C36" w:rsidRPr="00C502B3">
        <w:rPr>
          <w:rFonts w:ascii="Times New Roman" w:hAnsi="Times New Roman" w:cs="Times New Roman"/>
          <w:sz w:val="24"/>
          <w:szCs w:val="24"/>
        </w:rPr>
        <w:t>o</w:t>
      </w:r>
      <w:r w:rsidRPr="00C502B3">
        <w:rPr>
          <w:rFonts w:ascii="Times New Roman" w:hAnsi="Times New Roman" w:cs="Times New Roman"/>
          <w:sz w:val="24"/>
          <w:szCs w:val="24"/>
        </w:rPr>
        <w:t>f the proceedings, the application of the law by the body, and its independence</w:t>
      </w:r>
      <w:r w:rsidR="0037029F">
        <w:rPr>
          <w:rStyle w:val="Odwoanieprzypisudolnego"/>
          <w:rFonts w:ascii="Times New Roman" w:hAnsi="Times New Roman" w:cs="Times New Roman"/>
          <w:sz w:val="24"/>
          <w:szCs w:val="24"/>
        </w:rPr>
        <w:footnoteReference w:id="11"/>
      </w:r>
      <w:r w:rsidRPr="00C502B3">
        <w:rPr>
          <w:rFonts w:ascii="Times New Roman" w:hAnsi="Times New Roman" w:cs="Times New Roman"/>
          <w:sz w:val="24"/>
          <w:szCs w:val="24"/>
        </w:rPr>
        <w:t xml:space="preserve">. </w:t>
      </w:r>
    </w:p>
    <w:p w14:paraId="55AC1E25" w14:textId="44B254CD" w:rsidR="00AC3C36" w:rsidRPr="00C502B3" w:rsidRDefault="005E6798" w:rsidP="00EB72FA">
      <w:pPr>
        <w:ind w:left="360"/>
        <w:jc w:val="both"/>
        <w:rPr>
          <w:rFonts w:ascii="Times New Roman" w:hAnsi="Times New Roman" w:cs="Times New Roman"/>
          <w:sz w:val="24"/>
          <w:szCs w:val="24"/>
        </w:rPr>
      </w:pPr>
      <w:r w:rsidRPr="00C502B3">
        <w:rPr>
          <w:rFonts w:ascii="Times New Roman" w:hAnsi="Times New Roman" w:cs="Times New Roman"/>
          <w:sz w:val="24"/>
          <w:szCs w:val="24"/>
        </w:rPr>
        <w:t>According to</w:t>
      </w:r>
      <w:r w:rsidR="00AF148D">
        <w:rPr>
          <w:rFonts w:ascii="Times New Roman" w:hAnsi="Times New Roman" w:cs="Times New Roman"/>
          <w:sz w:val="24"/>
          <w:szCs w:val="24"/>
        </w:rPr>
        <w:t xml:space="preserve"> the</w:t>
      </w:r>
      <w:r w:rsidRPr="00C502B3">
        <w:rPr>
          <w:rFonts w:ascii="Times New Roman" w:hAnsi="Times New Roman" w:cs="Times New Roman"/>
          <w:sz w:val="24"/>
          <w:szCs w:val="24"/>
        </w:rPr>
        <w:t xml:space="preserve"> </w:t>
      </w:r>
      <w:r w:rsidR="00AF148D" w:rsidRPr="00C502B3">
        <w:rPr>
          <w:rFonts w:ascii="Times New Roman" w:hAnsi="Times New Roman" w:cs="Times New Roman"/>
          <w:sz w:val="24"/>
          <w:szCs w:val="24"/>
        </w:rPr>
        <w:t xml:space="preserve">case law </w:t>
      </w:r>
      <w:r w:rsidR="00AF148D">
        <w:rPr>
          <w:rFonts w:ascii="Times New Roman" w:hAnsi="Times New Roman" w:cs="Times New Roman"/>
          <w:sz w:val="24"/>
          <w:szCs w:val="24"/>
        </w:rPr>
        <w:t xml:space="preserve">of the </w:t>
      </w:r>
      <w:r w:rsidRPr="00C502B3">
        <w:rPr>
          <w:rFonts w:ascii="Times New Roman" w:hAnsi="Times New Roman" w:cs="Times New Roman"/>
          <w:sz w:val="24"/>
          <w:szCs w:val="24"/>
        </w:rPr>
        <w:t xml:space="preserve">ECHR, a court must always be established by law and meet a number of requirements, such as independence, particularly </w:t>
      </w:r>
      <w:r w:rsidR="0050388A">
        <w:rPr>
          <w:rFonts w:ascii="Times New Roman" w:hAnsi="Times New Roman" w:cs="Times New Roman"/>
          <w:sz w:val="24"/>
          <w:szCs w:val="24"/>
        </w:rPr>
        <w:t>from</w:t>
      </w:r>
      <w:r w:rsidRPr="00C502B3">
        <w:rPr>
          <w:rFonts w:ascii="Times New Roman" w:hAnsi="Times New Roman" w:cs="Times New Roman"/>
          <w:sz w:val="24"/>
          <w:szCs w:val="24"/>
        </w:rPr>
        <w:t xml:space="preserve"> the executive branch, and impartiality. In the context of the organization of the judiciary, the Court points to the need to </w:t>
      </w:r>
      <w:r w:rsidR="00FF6A9B">
        <w:rPr>
          <w:rFonts w:ascii="Times New Roman" w:hAnsi="Times New Roman" w:cs="Times New Roman"/>
          <w:sz w:val="24"/>
          <w:szCs w:val="24"/>
        </w:rPr>
        <w:t>establish</w:t>
      </w:r>
      <w:r w:rsidR="00FF6A9B" w:rsidRPr="00C502B3">
        <w:rPr>
          <w:rFonts w:ascii="Times New Roman" w:hAnsi="Times New Roman" w:cs="Times New Roman"/>
          <w:sz w:val="24"/>
          <w:szCs w:val="24"/>
        </w:rPr>
        <w:t xml:space="preserve"> </w:t>
      </w:r>
      <w:r w:rsidRPr="00C502B3">
        <w:rPr>
          <w:rFonts w:ascii="Times New Roman" w:hAnsi="Times New Roman" w:cs="Times New Roman"/>
          <w:sz w:val="24"/>
          <w:szCs w:val="24"/>
        </w:rPr>
        <w:t xml:space="preserve">a procedure </w:t>
      </w:r>
      <w:r w:rsidR="00F824AC">
        <w:rPr>
          <w:rFonts w:ascii="Times New Roman" w:hAnsi="Times New Roman" w:cs="Times New Roman"/>
          <w:sz w:val="24"/>
          <w:szCs w:val="24"/>
        </w:rPr>
        <w:t>for</w:t>
      </w:r>
      <w:r w:rsidR="00F824AC" w:rsidRPr="00C502B3">
        <w:rPr>
          <w:rFonts w:ascii="Times New Roman" w:hAnsi="Times New Roman" w:cs="Times New Roman"/>
          <w:sz w:val="24"/>
          <w:szCs w:val="24"/>
        </w:rPr>
        <w:t xml:space="preserve"> </w:t>
      </w:r>
      <w:r w:rsidRPr="00C502B3">
        <w:rPr>
          <w:rFonts w:ascii="Times New Roman" w:hAnsi="Times New Roman" w:cs="Times New Roman"/>
          <w:sz w:val="24"/>
          <w:szCs w:val="24"/>
        </w:rPr>
        <w:t xml:space="preserve">the appointment of judges that would </w:t>
      </w:r>
      <w:r w:rsidR="005D5DAB">
        <w:rPr>
          <w:rFonts w:ascii="Times New Roman" w:hAnsi="Times New Roman" w:cs="Times New Roman"/>
          <w:sz w:val="24"/>
          <w:szCs w:val="24"/>
        </w:rPr>
        <w:t>protect</w:t>
      </w:r>
      <w:r w:rsidR="005D5DAB" w:rsidRPr="00C502B3">
        <w:rPr>
          <w:rFonts w:ascii="Times New Roman" w:hAnsi="Times New Roman" w:cs="Times New Roman"/>
          <w:sz w:val="24"/>
          <w:szCs w:val="24"/>
        </w:rPr>
        <w:t xml:space="preserve"> </w:t>
      </w:r>
      <w:r w:rsidRPr="00C502B3">
        <w:rPr>
          <w:rFonts w:ascii="Times New Roman" w:hAnsi="Times New Roman" w:cs="Times New Roman"/>
          <w:sz w:val="24"/>
          <w:szCs w:val="24"/>
        </w:rPr>
        <w:t xml:space="preserve">them </w:t>
      </w:r>
      <w:r w:rsidR="005D5DAB">
        <w:rPr>
          <w:rFonts w:ascii="Times New Roman" w:hAnsi="Times New Roman" w:cs="Times New Roman"/>
          <w:sz w:val="24"/>
          <w:szCs w:val="24"/>
        </w:rPr>
        <w:t>from</w:t>
      </w:r>
      <w:r w:rsidRPr="00C502B3">
        <w:rPr>
          <w:rFonts w:ascii="Times New Roman" w:hAnsi="Times New Roman" w:cs="Times New Roman"/>
          <w:sz w:val="24"/>
          <w:szCs w:val="24"/>
        </w:rPr>
        <w:t xml:space="preserve"> undue influence </w:t>
      </w:r>
      <w:r w:rsidR="00374F31">
        <w:rPr>
          <w:rFonts w:ascii="Times New Roman" w:hAnsi="Times New Roman" w:cs="Times New Roman"/>
          <w:sz w:val="24"/>
          <w:szCs w:val="24"/>
        </w:rPr>
        <w:t>by</w:t>
      </w:r>
      <w:r w:rsidR="00374F31" w:rsidRPr="00C502B3">
        <w:rPr>
          <w:rFonts w:ascii="Times New Roman" w:hAnsi="Times New Roman" w:cs="Times New Roman"/>
          <w:sz w:val="24"/>
          <w:szCs w:val="24"/>
        </w:rPr>
        <w:t xml:space="preserve"> </w:t>
      </w:r>
      <w:r w:rsidRPr="00C502B3">
        <w:rPr>
          <w:rFonts w:ascii="Times New Roman" w:hAnsi="Times New Roman" w:cs="Times New Roman"/>
          <w:sz w:val="24"/>
          <w:szCs w:val="24"/>
        </w:rPr>
        <w:t>the executive and legislative branches</w:t>
      </w:r>
      <w:r w:rsidR="0037029F">
        <w:rPr>
          <w:rFonts w:ascii="Times New Roman" w:hAnsi="Times New Roman" w:cs="Times New Roman"/>
          <w:sz w:val="24"/>
          <w:szCs w:val="24"/>
        </w:rPr>
        <w:t>.</w:t>
      </w:r>
      <w:r w:rsidR="0037029F">
        <w:rPr>
          <w:rStyle w:val="Odwoanieprzypisudolnego"/>
          <w:rFonts w:ascii="Times New Roman" w:hAnsi="Times New Roman" w:cs="Times New Roman"/>
          <w:sz w:val="24"/>
          <w:szCs w:val="24"/>
        </w:rPr>
        <w:footnoteReference w:id="12"/>
      </w:r>
    </w:p>
    <w:p w14:paraId="0F8F5DA3" w14:textId="680B850E" w:rsidR="00AC3C36" w:rsidRPr="00C502B3" w:rsidRDefault="005E6798" w:rsidP="00AC3C36">
      <w:pPr>
        <w:ind w:left="360"/>
        <w:jc w:val="both"/>
        <w:rPr>
          <w:rFonts w:ascii="Times New Roman" w:hAnsi="Times New Roman" w:cs="Times New Roman"/>
          <w:sz w:val="24"/>
          <w:szCs w:val="24"/>
        </w:rPr>
      </w:pPr>
      <w:r w:rsidRPr="43E85BC1">
        <w:rPr>
          <w:rFonts w:ascii="Times New Roman" w:hAnsi="Times New Roman" w:cs="Times New Roman"/>
          <w:sz w:val="24"/>
          <w:szCs w:val="24"/>
        </w:rPr>
        <w:t xml:space="preserve">At this point, it is worth </w:t>
      </w:r>
      <w:r w:rsidR="00AC3C36" w:rsidRPr="43E85BC1">
        <w:rPr>
          <w:rFonts w:ascii="Times New Roman" w:hAnsi="Times New Roman" w:cs="Times New Roman"/>
          <w:sz w:val="24"/>
          <w:szCs w:val="24"/>
        </w:rPr>
        <w:t xml:space="preserve">mentioning </w:t>
      </w:r>
      <w:r w:rsidRPr="43E85BC1">
        <w:rPr>
          <w:rFonts w:ascii="Times New Roman" w:hAnsi="Times New Roman" w:cs="Times New Roman"/>
          <w:sz w:val="24"/>
          <w:szCs w:val="24"/>
        </w:rPr>
        <w:t>the recent litigation that has emerged over the application of the right to a court. In view of the purpose of the project (</w:t>
      </w:r>
      <w:r w:rsidR="00AC3C36" w:rsidRPr="43E85BC1">
        <w:rPr>
          <w:rFonts w:ascii="Times New Roman" w:hAnsi="Times New Roman" w:cs="Times New Roman"/>
          <w:sz w:val="24"/>
          <w:szCs w:val="24"/>
        </w:rPr>
        <w:t>“Rule of law and independent judiciary: Major challenges for Ukraine and Poland in the context of European Union integration”</w:t>
      </w:r>
      <w:r w:rsidRPr="43E85BC1">
        <w:rPr>
          <w:rFonts w:ascii="Times New Roman" w:hAnsi="Times New Roman" w:cs="Times New Roman"/>
          <w:sz w:val="24"/>
          <w:szCs w:val="24"/>
        </w:rPr>
        <w:t>), of which this study is a part, and the already indicated examples of</w:t>
      </w:r>
      <w:r w:rsidR="00AC3C36" w:rsidRPr="43E85BC1">
        <w:rPr>
          <w:rFonts w:ascii="Times New Roman" w:hAnsi="Times New Roman" w:cs="Times New Roman"/>
          <w:sz w:val="24"/>
          <w:szCs w:val="24"/>
        </w:rPr>
        <w:t xml:space="preserve"> the</w:t>
      </w:r>
      <w:r w:rsidRPr="43E85BC1">
        <w:rPr>
          <w:rFonts w:ascii="Times New Roman" w:hAnsi="Times New Roman" w:cs="Times New Roman"/>
          <w:sz w:val="24"/>
          <w:szCs w:val="24"/>
        </w:rPr>
        <w:t xml:space="preserve"> Polish jurisprudence, </w:t>
      </w:r>
      <w:r w:rsidR="00C642BD" w:rsidRPr="43E85BC1">
        <w:rPr>
          <w:rFonts w:ascii="Times New Roman" w:hAnsi="Times New Roman" w:cs="Times New Roman"/>
          <w:sz w:val="24"/>
          <w:szCs w:val="24"/>
        </w:rPr>
        <w:t>the</w:t>
      </w:r>
      <w:r w:rsidRPr="43E85BC1">
        <w:rPr>
          <w:rFonts w:ascii="Times New Roman" w:hAnsi="Times New Roman" w:cs="Times New Roman"/>
          <w:sz w:val="24"/>
          <w:szCs w:val="24"/>
        </w:rPr>
        <w:t xml:space="preserve"> focus </w:t>
      </w:r>
      <w:r w:rsidR="00C642BD" w:rsidRPr="43E85BC1">
        <w:rPr>
          <w:rFonts w:ascii="Times New Roman" w:hAnsi="Times New Roman" w:cs="Times New Roman"/>
          <w:sz w:val="24"/>
          <w:szCs w:val="24"/>
        </w:rPr>
        <w:t>will be shifte</w:t>
      </w:r>
      <w:r w:rsidR="00B54CED" w:rsidRPr="43E85BC1">
        <w:rPr>
          <w:rFonts w:ascii="Times New Roman" w:hAnsi="Times New Roman" w:cs="Times New Roman"/>
          <w:sz w:val="24"/>
          <w:szCs w:val="24"/>
        </w:rPr>
        <w:t>d to</w:t>
      </w:r>
      <w:r w:rsidR="00C642BD" w:rsidRPr="43E85BC1">
        <w:rPr>
          <w:rFonts w:ascii="Times New Roman" w:hAnsi="Times New Roman" w:cs="Times New Roman"/>
          <w:sz w:val="24"/>
          <w:szCs w:val="24"/>
        </w:rPr>
        <w:t xml:space="preserve"> </w:t>
      </w:r>
      <w:r w:rsidR="00AC3C36" w:rsidRPr="43E85BC1">
        <w:rPr>
          <w:rFonts w:ascii="Times New Roman" w:hAnsi="Times New Roman" w:cs="Times New Roman"/>
          <w:sz w:val="24"/>
          <w:szCs w:val="24"/>
        </w:rPr>
        <w:t xml:space="preserve">the </w:t>
      </w:r>
      <w:r w:rsidRPr="43E85BC1">
        <w:rPr>
          <w:rFonts w:ascii="Times New Roman" w:hAnsi="Times New Roman" w:cs="Times New Roman"/>
          <w:sz w:val="24"/>
          <w:szCs w:val="24"/>
        </w:rPr>
        <w:t xml:space="preserve">international </w:t>
      </w:r>
      <w:r w:rsidR="00AC3C36" w:rsidRPr="43E85BC1">
        <w:rPr>
          <w:rFonts w:ascii="Times New Roman" w:hAnsi="Times New Roman" w:cs="Times New Roman"/>
          <w:sz w:val="24"/>
          <w:szCs w:val="24"/>
        </w:rPr>
        <w:t>jurisdiction</w:t>
      </w:r>
      <w:r w:rsidRPr="43E85BC1">
        <w:rPr>
          <w:rFonts w:ascii="Times New Roman" w:hAnsi="Times New Roman" w:cs="Times New Roman"/>
          <w:sz w:val="24"/>
          <w:szCs w:val="24"/>
        </w:rPr>
        <w:t xml:space="preserve">: </w:t>
      </w:r>
    </w:p>
    <w:p w14:paraId="67D0A0AF" w14:textId="70785644" w:rsidR="009A28B3" w:rsidRPr="00C502B3" w:rsidRDefault="005E6798" w:rsidP="00AC3C36">
      <w:pPr>
        <w:ind w:left="360"/>
        <w:jc w:val="both"/>
        <w:rPr>
          <w:rFonts w:ascii="Times New Roman" w:hAnsi="Times New Roman" w:cs="Times New Roman"/>
          <w:sz w:val="24"/>
          <w:szCs w:val="24"/>
        </w:rPr>
      </w:pPr>
      <w:r w:rsidRPr="00C502B3">
        <w:rPr>
          <w:rFonts w:ascii="Times New Roman" w:hAnsi="Times New Roman" w:cs="Times New Roman"/>
          <w:sz w:val="24"/>
          <w:szCs w:val="24"/>
        </w:rPr>
        <w:t xml:space="preserve">1) The National Council of the Judiciary (the body responsible for selecting candidates for the office of judge), </w:t>
      </w:r>
      <w:r w:rsidR="0093754F">
        <w:rPr>
          <w:rFonts w:ascii="Times New Roman" w:hAnsi="Times New Roman" w:cs="Times New Roman"/>
          <w:sz w:val="24"/>
          <w:szCs w:val="24"/>
        </w:rPr>
        <w:t>in accordance with</w:t>
      </w:r>
      <w:r w:rsidRPr="00C502B3">
        <w:rPr>
          <w:rFonts w:ascii="Times New Roman" w:hAnsi="Times New Roman" w:cs="Times New Roman"/>
          <w:sz w:val="24"/>
          <w:szCs w:val="24"/>
        </w:rPr>
        <w:t xml:space="preserve"> Article 187 of the Constitution, consists of 25 members, including 15 elected from among judges and four members elected by the Sejm</w:t>
      </w:r>
      <w:r w:rsidR="00AF6BF3" w:rsidRPr="00C502B3">
        <w:rPr>
          <w:rStyle w:val="Odwoanieprzypisudolnego"/>
          <w:rFonts w:ascii="Times New Roman" w:hAnsi="Times New Roman" w:cs="Times New Roman"/>
          <w:sz w:val="24"/>
          <w:szCs w:val="24"/>
        </w:rPr>
        <w:footnoteReference w:id="13"/>
      </w:r>
      <w:r w:rsidR="00AF6BF3" w:rsidRPr="00C502B3">
        <w:rPr>
          <w:rFonts w:ascii="Times New Roman" w:hAnsi="Times New Roman" w:cs="Times New Roman"/>
          <w:sz w:val="24"/>
          <w:szCs w:val="24"/>
        </w:rPr>
        <w:t xml:space="preserve"> </w:t>
      </w:r>
      <w:r w:rsidRPr="00C502B3">
        <w:rPr>
          <w:rFonts w:ascii="Times New Roman" w:hAnsi="Times New Roman" w:cs="Times New Roman"/>
          <w:sz w:val="24"/>
          <w:szCs w:val="24"/>
        </w:rPr>
        <w:t xml:space="preserve">from among deputies. Prior to the amendment of </w:t>
      </w:r>
      <w:r w:rsidR="00EC3098" w:rsidRPr="00C502B3">
        <w:rPr>
          <w:rFonts w:ascii="Times New Roman" w:hAnsi="Times New Roman" w:cs="Times New Roman"/>
          <w:sz w:val="24"/>
          <w:szCs w:val="24"/>
        </w:rPr>
        <w:t>the Law on the National Council of the Judiciary</w:t>
      </w:r>
      <w:r w:rsidRPr="00C502B3">
        <w:rPr>
          <w:rFonts w:ascii="Times New Roman" w:hAnsi="Times New Roman" w:cs="Times New Roman"/>
          <w:sz w:val="24"/>
          <w:szCs w:val="24"/>
        </w:rPr>
        <w:t xml:space="preserve">, this provision was concretized on statutory grounds </w:t>
      </w:r>
      <w:r w:rsidR="00864BC8">
        <w:rPr>
          <w:rFonts w:ascii="Times New Roman" w:hAnsi="Times New Roman" w:cs="Times New Roman"/>
          <w:sz w:val="24"/>
          <w:szCs w:val="24"/>
        </w:rPr>
        <w:t>so</w:t>
      </w:r>
      <w:r w:rsidRPr="00C502B3">
        <w:rPr>
          <w:rFonts w:ascii="Times New Roman" w:hAnsi="Times New Roman" w:cs="Times New Roman"/>
          <w:sz w:val="24"/>
          <w:szCs w:val="24"/>
        </w:rPr>
        <w:t xml:space="preserve"> that the Sejm elected 4 members from among deputies, while </w:t>
      </w:r>
      <w:r w:rsidR="00AC3C36" w:rsidRPr="00C502B3">
        <w:rPr>
          <w:rFonts w:ascii="Times New Roman" w:hAnsi="Times New Roman" w:cs="Times New Roman"/>
          <w:sz w:val="24"/>
          <w:szCs w:val="24"/>
        </w:rPr>
        <w:t xml:space="preserve">assemblies of judges </w:t>
      </w:r>
      <w:r w:rsidRPr="00C502B3">
        <w:rPr>
          <w:rFonts w:ascii="Times New Roman" w:hAnsi="Times New Roman" w:cs="Times New Roman"/>
          <w:sz w:val="24"/>
          <w:szCs w:val="24"/>
        </w:rPr>
        <w:t xml:space="preserve">elected 15 judicial members of the Council. Under </w:t>
      </w:r>
      <w:bookmarkStart w:id="0" w:name="_Hlk160920194"/>
      <w:r w:rsidRPr="00C502B3">
        <w:rPr>
          <w:rFonts w:ascii="Times New Roman" w:hAnsi="Times New Roman" w:cs="Times New Roman"/>
          <w:sz w:val="24"/>
          <w:szCs w:val="24"/>
        </w:rPr>
        <w:t xml:space="preserve">the </w:t>
      </w:r>
      <w:r w:rsidR="00AF6BF3" w:rsidRPr="00C502B3">
        <w:rPr>
          <w:rFonts w:ascii="Times New Roman" w:hAnsi="Times New Roman" w:cs="Times New Roman"/>
          <w:sz w:val="24"/>
          <w:szCs w:val="24"/>
        </w:rPr>
        <w:t>Law amending the Law on the National Council of the Judiciary and certain other laws of 8 December 2017</w:t>
      </w:r>
      <w:bookmarkEnd w:id="0"/>
      <w:r w:rsidRPr="00C502B3">
        <w:rPr>
          <w:rFonts w:ascii="Times New Roman" w:hAnsi="Times New Roman" w:cs="Times New Roman"/>
          <w:sz w:val="24"/>
          <w:szCs w:val="24"/>
        </w:rPr>
        <w:t>, the Sejm elects 15 members who are judges in addition to the 4 deputies</w:t>
      </w:r>
      <w:r w:rsidR="00EC3098">
        <w:rPr>
          <w:rStyle w:val="Odwoanieprzypisudolnego"/>
          <w:rFonts w:ascii="Times New Roman" w:hAnsi="Times New Roman" w:cs="Times New Roman"/>
          <w:sz w:val="24"/>
          <w:szCs w:val="24"/>
        </w:rPr>
        <w:footnoteReference w:id="14"/>
      </w:r>
      <w:r w:rsidRPr="00C502B3">
        <w:rPr>
          <w:rFonts w:ascii="Times New Roman" w:hAnsi="Times New Roman" w:cs="Times New Roman"/>
          <w:sz w:val="24"/>
          <w:szCs w:val="24"/>
        </w:rPr>
        <w:t>. This replacement of the selection by the assemblies of judges in favo</w:t>
      </w:r>
      <w:r w:rsidR="00107B4C" w:rsidRPr="43E85BC1">
        <w:rPr>
          <w:rFonts w:ascii="Times New Roman" w:hAnsi="Times New Roman" w:cs="Times New Roman"/>
          <w:sz w:val="24"/>
          <w:szCs w:val="24"/>
        </w:rPr>
        <w:t>u</w:t>
      </w:r>
      <w:r w:rsidRPr="00C502B3">
        <w:rPr>
          <w:rFonts w:ascii="Times New Roman" w:hAnsi="Times New Roman" w:cs="Times New Roman"/>
          <w:sz w:val="24"/>
          <w:szCs w:val="24"/>
        </w:rPr>
        <w:t>r of the decision of the Sejm, which is a political body, on the grounds of the joined cases C-585/18, C-624/18 and C-625/18, in the opinion of the CJEU, casts doubt on the independence of the judges elected by the NCJ thus formed, and thus does not guarantee the right to a court</w:t>
      </w:r>
      <w:r w:rsidR="00EC3098">
        <w:rPr>
          <w:rStyle w:val="Odwoanieprzypisudolnego"/>
          <w:rFonts w:ascii="Times New Roman" w:hAnsi="Times New Roman" w:cs="Times New Roman"/>
          <w:sz w:val="24"/>
          <w:szCs w:val="24"/>
        </w:rPr>
        <w:footnoteReference w:id="15"/>
      </w:r>
      <w:r w:rsidRPr="00C502B3">
        <w:rPr>
          <w:rFonts w:ascii="Times New Roman" w:hAnsi="Times New Roman" w:cs="Times New Roman"/>
          <w:sz w:val="24"/>
          <w:szCs w:val="24"/>
        </w:rPr>
        <w:t xml:space="preserve">. </w:t>
      </w:r>
    </w:p>
    <w:p w14:paraId="077D4BB0" w14:textId="6DDF59A2" w:rsidR="000D1868" w:rsidRPr="00C502B3" w:rsidRDefault="005E6798" w:rsidP="00AC3C36">
      <w:pPr>
        <w:ind w:left="360"/>
        <w:jc w:val="both"/>
        <w:rPr>
          <w:rFonts w:ascii="Times New Roman" w:hAnsi="Times New Roman" w:cs="Times New Roman"/>
          <w:sz w:val="24"/>
          <w:szCs w:val="24"/>
        </w:rPr>
      </w:pPr>
      <w:r w:rsidRPr="00C502B3">
        <w:rPr>
          <w:rFonts w:ascii="Times New Roman" w:hAnsi="Times New Roman" w:cs="Times New Roman"/>
          <w:sz w:val="24"/>
          <w:szCs w:val="24"/>
        </w:rPr>
        <w:t xml:space="preserve">2) </w:t>
      </w:r>
      <w:r w:rsidR="000D1868" w:rsidRPr="00C502B3">
        <w:rPr>
          <w:rStyle w:val="normaltextrun"/>
          <w:rFonts w:ascii="Times New Roman" w:hAnsi="Times New Roman" w:cs="Times New Roman"/>
          <w:sz w:val="24"/>
          <w:szCs w:val="24"/>
        </w:rPr>
        <w:t xml:space="preserve">The amendment </w:t>
      </w:r>
      <w:r w:rsidR="00B15AE0">
        <w:rPr>
          <w:rStyle w:val="normaltextrun"/>
          <w:rFonts w:ascii="Times New Roman" w:hAnsi="Times New Roman" w:cs="Times New Roman"/>
          <w:sz w:val="24"/>
          <w:szCs w:val="24"/>
        </w:rPr>
        <w:t>to</w:t>
      </w:r>
      <w:r w:rsidR="00B15AE0" w:rsidRPr="00C502B3">
        <w:rPr>
          <w:rStyle w:val="normaltextrun"/>
          <w:rFonts w:ascii="Times New Roman" w:hAnsi="Times New Roman" w:cs="Times New Roman"/>
          <w:sz w:val="24"/>
          <w:szCs w:val="24"/>
        </w:rPr>
        <w:t xml:space="preserve"> </w:t>
      </w:r>
      <w:r w:rsidR="000D1868" w:rsidRPr="00C502B3">
        <w:rPr>
          <w:rStyle w:val="normaltextrun"/>
          <w:rFonts w:ascii="Times New Roman" w:hAnsi="Times New Roman" w:cs="Times New Roman"/>
          <w:sz w:val="24"/>
          <w:szCs w:val="24"/>
        </w:rPr>
        <w:t xml:space="preserve">the </w:t>
      </w:r>
      <w:r w:rsidR="00A31170">
        <w:rPr>
          <w:rStyle w:val="normaltextrun"/>
          <w:rFonts w:ascii="Times New Roman" w:hAnsi="Times New Roman" w:cs="Times New Roman"/>
          <w:sz w:val="24"/>
          <w:szCs w:val="24"/>
        </w:rPr>
        <w:t>A</w:t>
      </w:r>
      <w:r w:rsidR="00A31170" w:rsidRPr="00C502B3">
        <w:rPr>
          <w:rStyle w:val="normaltextrun"/>
          <w:rFonts w:ascii="Times New Roman" w:hAnsi="Times New Roman" w:cs="Times New Roman"/>
          <w:sz w:val="24"/>
          <w:szCs w:val="24"/>
        </w:rPr>
        <w:t xml:space="preserve">rticle </w:t>
      </w:r>
      <w:r w:rsidR="000D1868" w:rsidRPr="00C502B3">
        <w:rPr>
          <w:rStyle w:val="normaltextrun"/>
          <w:rFonts w:ascii="Times New Roman" w:hAnsi="Times New Roman" w:cs="Times New Roman"/>
          <w:sz w:val="24"/>
          <w:szCs w:val="24"/>
        </w:rPr>
        <w:t xml:space="preserve">97 of the Supreme Court Act and Article 107(1) of the </w:t>
      </w:r>
      <w:r w:rsidR="00A31170">
        <w:rPr>
          <w:rStyle w:val="normaltextrun"/>
          <w:rFonts w:ascii="Times New Roman" w:hAnsi="Times New Roman" w:cs="Times New Roman"/>
          <w:sz w:val="24"/>
          <w:szCs w:val="24"/>
        </w:rPr>
        <w:t>Act</w:t>
      </w:r>
      <w:r w:rsidR="00A31170" w:rsidRPr="00C502B3">
        <w:rPr>
          <w:rStyle w:val="normaltextrun"/>
          <w:rFonts w:ascii="Times New Roman" w:hAnsi="Times New Roman" w:cs="Times New Roman"/>
          <w:sz w:val="24"/>
          <w:szCs w:val="24"/>
        </w:rPr>
        <w:t xml:space="preserve"> </w:t>
      </w:r>
      <w:r w:rsidR="000D1868" w:rsidRPr="00C502B3">
        <w:rPr>
          <w:rStyle w:val="normaltextrun"/>
          <w:rFonts w:ascii="Times New Roman" w:hAnsi="Times New Roman" w:cs="Times New Roman"/>
          <w:sz w:val="24"/>
          <w:szCs w:val="24"/>
        </w:rPr>
        <w:t xml:space="preserve">on the System of Common Courts </w:t>
      </w:r>
      <w:r w:rsidRPr="00C502B3">
        <w:rPr>
          <w:rFonts w:ascii="Times New Roman" w:hAnsi="Times New Roman" w:cs="Times New Roman"/>
          <w:sz w:val="24"/>
          <w:szCs w:val="24"/>
        </w:rPr>
        <w:t>provide for the possibility of disciplinary liability of judge</w:t>
      </w:r>
      <w:r w:rsidR="00B15AE0">
        <w:rPr>
          <w:rFonts w:ascii="Times New Roman" w:hAnsi="Times New Roman" w:cs="Times New Roman"/>
          <w:sz w:val="24"/>
          <w:szCs w:val="24"/>
        </w:rPr>
        <w:t>s</w:t>
      </w:r>
      <w:r w:rsidRPr="00C502B3">
        <w:rPr>
          <w:rFonts w:ascii="Times New Roman" w:hAnsi="Times New Roman" w:cs="Times New Roman"/>
          <w:sz w:val="24"/>
          <w:szCs w:val="24"/>
        </w:rPr>
        <w:t xml:space="preserve"> </w:t>
      </w:r>
      <w:r w:rsidR="00B15AE0">
        <w:rPr>
          <w:rFonts w:ascii="Times New Roman" w:hAnsi="Times New Roman" w:cs="Times New Roman"/>
          <w:sz w:val="24"/>
          <w:szCs w:val="24"/>
        </w:rPr>
        <w:t>due to</w:t>
      </w:r>
      <w:r w:rsidR="00B15AE0" w:rsidRPr="00C502B3">
        <w:rPr>
          <w:rFonts w:ascii="Times New Roman" w:hAnsi="Times New Roman" w:cs="Times New Roman"/>
          <w:sz w:val="24"/>
          <w:szCs w:val="24"/>
        </w:rPr>
        <w:t xml:space="preserve"> </w:t>
      </w:r>
      <w:r w:rsidRPr="00C502B3">
        <w:rPr>
          <w:rFonts w:ascii="Times New Roman" w:hAnsi="Times New Roman" w:cs="Times New Roman"/>
          <w:sz w:val="24"/>
          <w:szCs w:val="24"/>
        </w:rPr>
        <w:t>the content</w:t>
      </w:r>
      <w:r w:rsidR="00B15AE0">
        <w:rPr>
          <w:rFonts w:ascii="Times New Roman" w:hAnsi="Times New Roman" w:cs="Times New Roman"/>
          <w:sz w:val="24"/>
          <w:szCs w:val="24"/>
        </w:rPr>
        <w:t>s</w:t>
      </w:r>
      <w:r w:rsidRPr="00C502B3">
        <w:rPr>
          <w:rFonts w:ascii="Times New Roman" w:hAnsi="Times New Roman" w:cs="Times New Roman"/>
          <w:sz w:val="24"/>
          <w:szCs w:val="24"/>
        </w:rPr>
        <w:t xml:space="preserve"> of </w:t>
      </w:r>
      <w:r w:rsidR="008A5816">
        <w:rPr>
          <w:rFonts w:ascii="Times New Roman" w:hAnsi="Times New Roman" w:cs="Times New Roman"/>
          <w:sz w:val="24"/>
          <w:szCs w:val="24"/>
        </w:rPr>
        <w:t>their</w:t>
      </w:r>
      <w:r w:rsidRPr="00C502B3">
        <w:rPr>
          <w:rFonts w:ascii="Times New Roman" w:hAnsi="Times New Roman" w:cs="Times New Roman"/>
          <w:sz w:val="24"/>
          <w:szCs w:val="24"/>
        </w:rPr>
        <w:t xml:space="preserve"> ruling. The CJEU, in Case C-791/19, held that "</w:t>
      </w:r>
      <w:r w:rsidR="000D1868" w:rsidRPr="00C502B3">
        <w:rPr>
          <w:rFonts w:ascii="Times New Roman" w:hAnsi="Times New Roman" w:cs="Times New Roman"/>
          <w:sz w:val="24"/>
          <w:szCs w:val="24"/>
        </w:rPr>
        <w:t>the fact that a judicial decision contains a possible error in the interpretation and application of national and EU law, or in the assessment of the facts and the appraisal of the evidence, cannot in itself trigger the disciplinary liability of the judge concerned</w:t>
      </w:r>
      <w:r w:rsidRPr="00C502B3">
        <w:rPr>
          <w:rFonts w:ascii="Times New Roman" w:hAnsi="Times New Roman" w:cs="Times New Roman"/>
          <w:sz w:val="24"/>
          <w:szCs w:val="24"/>
        </w:rPr>
        <w:t>"</w:t>
      </w:r>
      <w:r w:rsidR="00AD2309">
        <w:rPr>
          <w:rStyle w:val="Odwoanieprzypisudolnego"/>
          <w:rFonts w:ascii="Times New Roman" w:hAnsi="Times New Roman" w:cs="Times New Roman"/>
          <w:sz w:val="24"/>
          <w:szCs w:val="24"/>
        </w:rPr>
        <w:footnoteReference w:id="16"/>
      </w:r>
      <w:r w:rsidRPr="00C502B3">
        <w:rPr>
          <w:rFonts w:ascii="Times New Roman" w:hAnsi="Times New Roman" w:cs="Times New Roman"/>
          <w:sz w:val="24"/>
          <w:szCs w:val="24"/>
        </w:rPr>
        <w:t xml:space="preserve">. </w:t>
      </w:r>
    </w:p>
    <w:p w14:paraId="3EA95C97" w14:textId="2C43415A" w:rsidR="000D1868" w:rsidRPr="00C502B3" w:rsidRDefault="005E6798" w:rsidP="00AC3C36">
      <w:pPr>
        <w:ind w:left="360"/>
        <w:jc w:val="both"/>
        <w:rPr>
          <w:rFonts w:ascii="Times New Roman" w:hAnsi="Times New Roman" w:cs="Times New Roman"/>
          <w:sz w:val="24"/>
          <w:szCs w:val="24"/>
        </w:rPr>
      </w:pPr>
      <w:r w:rsidRPr="00C502B3">
        <w:rPr>
          <w:rFonts w:ascii="Times New Roman" w:hAnsi="Times New Roman" w:cs="Times New Roman"/>
          <w:sz w:val="24"/>
          <w:szCs w:val="24"/>
        </w:rPr>
        <w:lastRenderedPageBreak/>
        <w:t xml:space="preserve">3) In the joined cases of </w:t>
      </w:r>
      <w:r w:rsidRPr="00013EF9">
        <w:rPr>
          <w:rFonts w:ascii="Times New Roman" w:hAnsi="Times New Roman" w:cs="Times New Roman"/>
          <w:i/>
          <w:iCs/>
          <w:sz w:val="24"/>
          <w:szCs w:val="24"/>
        </w:rPr>
        <w:t xml:space="preserve">Broda and </w:t>
      </w:r>
      <w:proofErr w:type="spellStart"/>
      <w:r w:rsidRPr="00013EF9">
        <w:rPr>
          <w:rFonts w:ascii="Times New Roman" w:hAnsi="Times New Roman" w:cs="Times New Roman"/>
          <w:i/>
          <w:iCs/>
          <w:sz w:val="24"/>
          <w:szCs w:val="24"/>
        </w:rPr>
        <w:t>Bojara</w:t>
      </w:r>
      <w:proofErr w:type="spellEnd"/>
      <w:r w:rsidRPr="00013EF9">
        <w:rPr>
          <w:rFonts w:ascii="Times New Roman" w:hAnsi="Times New Roman" w:cs="Times New Roman"/>
          <w:i/>
          <w:iCs/>
          <w:sz w:val="24"/>
          <w:szCs w:val="24"/>
        </w:rPr>
        <w:t xml:space="preserve"> v. Poland</w:t>
      </w:r>
      <w:r w:rsidRPr="00C502B3">
        <w:rPr>
          <w:rFonts w:ascii="Times New Roman" w:hAnsi="Times New Roman" w:cs="Times New Roman"/>
          <w:sz w:val="24"/>
          <w:szCs w:val="24"/>
        </w:rPr>
        <w:t xml:space="preserve">, the ECHR considered the removal of the said judges from their positions as vice-presidents of </w:t>
      </w:r>
      <w:r w:rsidR="000D1868" w:rsidRPr="00C502B3">
        <w:rPr>
          <w:rFonts w:ascii="Times New Roman" w:hAnsi="Times New Roman" w:cs="Times New Roman"/>
          <w:sz w:val="24"/>
          <w:szCs w:val="24"/>
        </w:rPr>
        <w:t>d</w:t>
      </w:r>
      <w:r w:rsidRPr="00C502B3">
        <w:rPr>
          <w:rFonts w:ascii="Times New Roman" w:hAnsi="Times New Roman" w:cs="Times New Roman"/>
          <w:sz w:val="24"/>
          <w:szCs w:val="24"/>
        </w:rPr>
        <w:t xml:space="preserve">istrict </w:t>
      </w:r>
      <w:r w:rsidR="000D1868" w:rsidRPr="00C502B3">
        <w:rPr>
          <w:rFonts w:ascii="Times New Roman" w:hAnsi="Times New Roman" w:cs="Times New Roman"/>
          <w:sz w:val="24"/>
          <w:szCs w:val="24"/>
        </w:rPr>
        <w:t>c</w:t>
      </w:r>
      <w:r w:rsidRPr="00C502B3">
        <w:rPr>
          <w:rFonts w:ascii="Times New Roman" w:hAnsi="Times New Roman" w:cs="Times New Roman"/>
          <w:sz w:val="24"/>
          <w:szCs w:val="24"/>
        </w:rPr>
        <w:t>ourt</w:t>
      </w:r>
      <w:r w:rsidR="000D1868" w:rsidRPr="00C502B3">
        <w:rPr>
          <w:rFonts w:ascii="Times New Roman" w:hAnsi="Times New Roman" w:cs="Times New Roman"/>
          <w:sz w:val="24"/>
          <w:szCs w:val="24"/>
        </w:rPr>
        <w:t>s</w:t>
      </w:r>
      <w:r w:rsidRPr="00C502B3">
        <w:rPr>
          <w:rFonts w:ascii="Times New Roman" w:hAnsi="Times New Roman" w:cs="Times New Roman"/>
          <w:sz w:val="24"/>
          <w:szCs w:val="24"/>
        </w:rPr>
        <w:t xml:space="preserve">. According to the Court, Article 17(1) of </w:t>
      </w:r>
      <w:r w:rsidR="000D1868" w:rsidRPr="00C502B3">
        <w:rPr>
          <w:rStyle w:val="normaltextrun"/>
          <w:rFonts w:ascii="Times New Roman" w:hAnsi="Times New Roman" w:cs="Times New Roman"/>
          <w:sz w:val="24"/>
          <w:szCs w:val="24"/>
        </w:rPr>
        <w:t xml:space="preserve">the Act on Amendments to the </w:t>
      </w:r>
      <w:r w:rsidR="005E6E5F">
        <w:rPr>
          <w:rStyle w:val="normaltextrun"/>
          <w:rFonts w:ascii="Times New Roman" w:hAnsi="Times New Roman" w:cs="Times New Roman"/>
          <w:sz w:val="24"/>
          <w:szCs w:val="24"/>
        </w:rPr>
        <w:t>Act</w:t>
      </w:r>
      <w:r w:rsidR="005E6E5F" w:rsidRPr="00C502B3">
        <w:rPr>
          <w:rStyle w:val="normaltextrun"/>
          <w:rFonts w:ascii="Times New Roman" w:hAnsi="Times New Roman" w:cs="Times New Roman"/>
          <w:sz w:val="24"/>
          <w:szCs w:val="24"/>
        </w:rPr>
        <w:t xml:space="preserve"> </w:t>
      </w:r>
      <w:r w:rsidR="000D1868" w:rsidRPr="00C502B3">
        <w:rPr>
          <w:rStyle w:val="normaltextrun"/>
          <w:rFonts w:ascii="Times New Roman" w:hAnsi="Times New Roman" w:cs="Times New Roman"/>
          <w:sz w:val="24"/>
          <w:szCs w:val="24"/>
        </w:rPr>
        <w:t>on the System of Common Courts and Other Acts</w:t>
      </w:r>
      <w:r w:rsidR="00AD2309">
        <w:rPr>
          <w:rStyle w:val="Odwoanieprzypisudolnego"/>
          <w:rFonts w:ascii="Times New Roman" w:hAnsi="Times New Roman" w:cs="Times New Roman"/>
          <w:sz w:val="24"/>
          <w:szCs w:val="24"/>
        </w:rPr>
        <w:footnoteReference w:id="17"/>
      </w:r>
      <w:r w:rsidR="000D1868" w:rsidRPr="00C502B3">
        <w:rPr>
          <w:rStyle w:val="normaltextrun"/>
          <w:rFonts w:ascii="Times New Roman" w:hAnsi="Times New Roman" w:cs="Times New Roman"/>
          <w:sz w:val="24"/>
          <w:szCs w:val="24"/>
        </w:rPr>
        <w:t xml:space="preserve"> </w:t>
      </w:r>
      <w:r w:rsidRPr="00C502B3">
        <w:rPr>
          <w:rFonts w:ascii="Times New Roman" w:hAnsi="Times New Roman" w:cs="Times New Roman"/>
          <w:sz w:val="24"/>
          <w:szCs w:val="24"/>
        </w:rPr>
        <w:t>cited as the basis for the dismissal raises doubts from the perspective of the rule of law, and depriving the judges of the possibility to challenge this decision violates their right to a court</w:t>
      </w:r>
      <w:r w:rsidR="00DF2B4F">
        <w:rPr>
          <w:rStyle w:val="Odwoanieprzypisudolnego"/>
          <w:rFonts w:ascii="Times New Roman" w:hAnsi="Times New Roman" w:cs="Times New Roman"/>
          <w:sz w:val="24"/>
          <w:szCs w:val="24"/>
        </w:rPr>
        <w:footnoteReference w:id="18"/>
      </w:r>
      <w:r w:rsidRPr="00C502B3">
        <w:rPr>
          <w:rFonts w:ascii="Times New Roman" w:hAnsi="Times New Roman" w:cs="Times New Roman"/>
          <w:sz w:val="24"/>
          <w:szCs w:val="24"/>
        </w:rPr>
        <w:t xml:space="preserve">. </w:t>
      </w:r>
    </w:p>
    <w:p w14:paraId="32544D0A" w14:textId="2C7E861A" w:rsidR="007B72C4" w:rsidRPr="00C502B3" w:rsidRDefault="005E6798" w:rsidP="00AC3C36">
      <w:pPr>
        <w:ind w:left="360"/>
        <w:jc w:val="both"/>
        <w:rPr>
          <w:rFonts w:ascii="Times New Roman" w:hAnsi="Times New Roman" w:cs="Times New Roman"/>
          <w:sz w:val="24"/>
          <w:szCs w:val="24"/>
        </w:rPr>
      </w:pPr>
      <w:r w:rsidRPr="00C502B3">
        <w:rPr>
          <w:rFonts w:ascii="Times New Roman" w:hAnsi="Times New Roman" w:cs="Times New Roman"/>
          <w:sz w:val="24"/>
          <w:szCs w:val="24"/>
        </w:rPr>
        <w:t xml:space="preserve">4) </w:t>
      </w:r>
      <w:r w:rsidR="00EC11B1">
        <w:rPr>
          <w:rFonts w:ascii="Times New Roman" w:hAnsi="Times New Roman" w:cs="Times New Roman"/>
          <w:sz w:val="24"/>
          <w:szCs w:val="24"/>
        </w:rPr>
        <w:t>I</w:t>
      </w:r>
      <w:r w:rsidR="00EC11B1" w:rsidRPr="00C502B3">
        <w:rPr>
          <w:rFonts w:ascii="Times New Roman" w:hAnsi="Times New Roman" w:cs="Times New Roman"/>
          <w:sz w:val="24"/>
          <w:szCs w:val="24"/>
        </w:rPr>
        <w:t xml:space="preserve">n </w:t>
      </w:r>
      <w:r w:rsidRPr="00C502B3">
        <w:rPr>
          <w:rFonts w:ascii="Times New Roman" w:hAnsi="Times New Roman" w:cs="Times New Roman"/>
          <w:sz w:val="24"/>
          <w:szCs w:val="24"/>
        </w:rPr>
        <w:t xml:space="preserve">the case of </w:t>
      </w:r>
      <w:proofErr w:type="spellStart"/>
      <w:r w:rsidR="00E25818" w:rsidRPr="43E85BC1">
        <w:rPr>
          <w:rFonts w:ascii="Times New Roman" w:hAnsi="Times New Roman" w:cs="Times New Roman"/>
          <w:i/>
          <w:iCs/>
          <w:sz w:val="24"/>
          <w:szCs w:val="24"/>
        </w:rPr>
        <w:t>Ż</w:t>
      </w:r>
      <w:r w:rsidRPr="00013EF9">
        <w:rPr>
          <w:rFonts w:ascii="Times New Roman" w:hAnsi="Times New Roman" w:cs="Times New Roman"/>
          <w:i/>
          <w:iCs/>
          <w:sz w:val="24"/>
          <w:szCs w:val="24"/>
        </w:rPr>
        <w:t>urek</w:t>
      </w:r>
      <w:proofErr w:type="spellEnd"/>
      <w:r w:rsidRPr="00013EF9">
        <w:rPr>
          <w:rFonts w:ascii="Times New Roman" w:hAnsi="Times New Roman" w:cs="Times New Roman"/>
          <w:i/>
          <w:iCs/>
          <w:sz w:val="24"/>
          <w:szCs w:val="24"/>
        </w:rPr>
        <w:t xml:space="preserve"> v. Poland</w:t>
      </w:r>
      <w:r w:rsidR="00EC11B1">
        <w:rPr>
          <w:rFonts w:ascii="Times New Roman" w:hAnsi="Times New Roman" w:cs="Times New Roman"/>
          <w:sz w:val="24"/>
          <w:szCs w:val="24"/>
        </w:rPr>
        <w:t>, the ECHR</w:t>
      </w:r>
      <w:r w:rsidRPr="00C502B3">
        <w:rPr>
          <w:rFonts w:ascii="Times New Roman" w:hAnsi="Times New Roman" w:cs="Times New Roman"/>
          <w:sz w:val="24"/>
          <w:szCs w:val="24"/>
        </w:rPr>
        <w:t xml:space="preserve"> </w:t>
      </w:r>
      <w:r w:rsidR="00EC11B1">
        <w:rPr>
          <w:rFonts w:ascii="Times New Roman" w:hAnsi="Times New Roman" w:cs="Times New Roman"/>
          <w:sz w:val="24"/>
          <w:szCs w:val="24"/>
        </w:rPr>
        <w:t>addressed</w:t>
      </w:r>
      <w:r w:rsidR="00EC11B1" w:rsidRPr="00C502B3">
        <w:rPr>
          <w:rFonts w:ascii="Times New Roman" w:hAnsi="Times New Roman" w:cs="Times New Roman"/>
          <w:sz w:val="24"/>
          <w:szCs w:val="24"/>
        </w:rPr>
        <w:t xml:space="preserve"> </w:t>
      </w:r>
      <w:r w:rsidRPr="00C502B3">
        <w:rPr>
          <w:rFonts w:ascii="Times New Roman" w:hAnsi="Times New Roman" w:cs="Times New Roman"/>
          <w:sz w:val="24"/>
          <w:szCs w:val="24"/>
        </w:rPr>
        <w:t>the issue of the executive branch exerting influence on the holder of the office of judge. In 2016</w:t>
      </w:r>
      <w:r w:rsidR="000D1868" w:rsidRPr="00C502B3">
        <w:rPr>
          <w:rFonts w:ascii="Times New Roman" w:hAnsi="Times New Roman" w:cs="Times New Roman"/>
          <w:sz w:val="24"/>
          <w:szCs w:val="24"/>
        </w:rPr>
        <w:t>,</w:t>
      </w:r>
      <w:r w:rsidRPr="00C502B3">
        <w:rPr>
          <w:rFonts w:ascii="Times New Roman" w:hAnsi="Times New Roman" w:cs="Times New Roman"/>
          <w:sz w:val="24"/>
          <w:szCs w:val="24"/>
        </w:rPr>
        <w:t xml:space="preserve"> </w:t>
      </w:r>
      <w:r w:rsidR="000D1868" w:rsidRPr="00C502B3">
        <w:rPr>
          <w:rFonts w:ascii="Times New Roman" w:hAnsi="Times New Roman" w:cs="Times New Roman"/>
          <w:sz w:val="24"/>
          <w:szCs w:val="24"/>
        </w:rPr>
        <w:t>t</w:t>
      </w:r>
      <w:r w:rsidRPr="00C502B3">
        <w:rPr>
          <w:rFonts w:ascii="Times New Roman" w:hAnsi="Times New Roman" w:cs="Times New Roman"/>
          <w:sz w:val="24"/>
          <w:szCs w:val="24"/>
        </w:rPr>
        <w:t xml:space="preserve">he </w:t>
      </w:r>
      <w:hyperlink r:id="rId8" w:history="1">
        <w:r w:rsidR="000D1868" w:rsidRPr="00C502B3">
          <w:rPr>
            <w:rStyle w:val="Hipercze"/>
            <w:rFonts w:ascii="Times New Roman" w:hAnsi="Times New Roman" w:cs="Times New Roman"/>
            <w:color w:val="auto"/>
            <w:sz w:val="24"/>
            <w:szCs w:val="24"/>
            <w:u w:val="none"/>
          </w:rPr>
          <w:t>Central Anti-Corruption Bureau</w:t>
        </w:r>
      </w:hyperlink>
      <w:r w:rsidR="000D1868" w:rsidRPr="00C502B3">
        <w:rPr>
          <w:rStyle w:val="hw"/>
          <w:rFonts w:ascii="Times New Roman" w:hAnsi="Times New Roman" w:cs="Times New Roman"/>
          <w:sz w:val="24"/>
          <w:szCs w:val="24"/>
        </w:rPr>
        <w:t xml:space="preserve"> </w:t>
      </w:r>
      <w:r w:rsidRPr="00C502B3">
        <w:rPr>
          <w:rFonts w:ascii="Times New Roman" w:hAnsi="Times New Roman" w:cs="Times New Roman"/>
          <w:sz w:val="24"/>
          <w:szCs w:val="24"/>
        </w:rPr>
        <w:t xml:space="preserve">initiated an audit of </w:t>
      </w:r>
      <w:r w:rsidR="000D1868" w:rsidRPr="00C502B3">
        <w:rPr>
          <w:rFonts w:ascii="Times New Roman" w:hAnsi="Times New Roman" w:cs="Times New Roman"/>
          <w:sz w:val="24"/>
          <w:szCs w:val="24"/>
        </w:rPr>
        <w:t xml:space="preserve">assets </w:t>
      </w:r>
      <w:r w:rsidRPr="00C502B3">
        <w:rPr>
          <w:rFonts w:ascii="Times New Roman" w:hAnsi="Times New Roman" w:cs="Times New Roman"/>
          <w:sz w:val="24"/>
          <w:szCs w:val="24"/>
        </w:rPr>
        <w:t>and asset declarations of the applicant</w:t>
      </w:r>
      <w:r w:rsidR="005A1403" w:rsidRPr="43E85BC1">
        <w:rPr>
          <w:rFonts w:ascii="Times New Roman" w:hAnsi="Times New Roman" w:cs="Times New Roman"/>
          <w:sz w:val="24"/>
          <w:szCs w:val="24"/>
        </w:rPr>
        <w:t>,</w:t>
      </w:r>
      <w:r w:rsidRPr="00C502B3">
        <w:rPr>
          <w:rFonts w:ascii="Times New Roman" w:hAnsi="Times New Roman" w:cs="Times New Roman"/>
          <w:sz w:val="24"/>
          <w:szCs w:val="24"/>
        </w:rPr>
        <w:t xml:space="preserve"> </w:t>
      </w:r>
      <w:r w:rsidR="005A1403">
        <w:rPr>
          <w:rFonts w:ascii="Times New Roman" w:hAnsi="Times New Roman" w:cs="Times New Roman"/>
          <w:sz w:val="24"/>
          <w:szCs w:val="24"/>
        </w:rPr>
        <w:t xml:space="preserve">who was </w:t>
      </w:r>
      <w:r w:rsidRPr="00C502B3">
        <w:rPr>
          <w:rFonts w:ascii="Times New Roman" w:hAnsi="Times New Roman" w:cs="Times New Roman"/>
          <w:sz w:val="24"/>
          <w:szCs w:val="24"/>
        </w:rPr>
        <w:t xml:space="preserve">a judge and </w:t>
      </w:r>
      <w:r w:rsidR="000D1868" w:rsidRPr="00C502B3">
        <w:rPr>
          <w:rFonts w:ascii="Times New Roman" w:hAnsi="Times New Roman" w:cs="Times New Roman"/>
          <w:sz w:val="24"/>
          <w:szCs w:val="24"/>
        </w:rPr>
        <w:t xml:space="preserve">former </w:t>
      </w:r>
      <w:r w:rsidRPr="00C502B3">
        <w:rPr>
          <w:rFonts w:ascii="Times New Roman" w:hAnsi="Times New Roman" w:cs="Times New Roman"/>
          <w:sz w:val="24"/>
          <w:szCs w:val="24"/>
        </w:rPr>
        <w:t xml:space="preserve">spokesman for the NCJ. The actions carried out by the </w:t>
      </w:r>
      <w:hyperlink r:id="rId9" w:history="1">
        <w:r w:rsidR="000D1868" w:rsidRPr="00C502B3">
          <w:rPr>
            <w:rStyle w:val="Hipercze"/>
            <w:rFonts w:ascii="Times New Roman" w:hAnsi="Times New Roman" w:cs="Times New Roman"/>
            <w:color w:val="auto"/>
            <w:sz w:val="24"/>
            <w:szCs w:val="24"/>
            <w:u w:val="none"/>
          </w:rPr>
          <w:t>Central Anti-Corruption Bureau</w:t>
        </w:r>
      </w:hyperlink>
      <w:r w:rsidRPr="00C502B3">
        <w:rPr>
          <w:rFonts w:ascii="Times New Roman" w:hAnsi="Times New Roman" w:cs="Times New Roman"/>
          <w:sz w:val="24"/>
          <w:szCs w:val="24"/>
        </w:rPr>
        <w:t xml:space="preserve"> and the prosecutor's office also extended to the judge's closest relatives, and </w:t>
      </w:r>
      <w:r w:rsidR="00A6474B" w:rsidRPr="43E85BC1">
        <w:rPr>
          <w:rFonts w:ascii="Times New Roman" w:hAnsi="Times New Roman" w:cs="Times New Roman"/>
          <w:sz w:val="24"/>
          <w:szCs w:val="24"/>
        </w:rPr>
        <w:t>also</w:t>
      </w:r>
      <w:r w:rsidR="00A6474B">
        <w:rPr>
          <w:rFonts w:ascii="Times New Roman" w:hAnsi="Times New Roman" w:cs="Times New Roman"/>
          <w:sz w:val="24"/>
          <w:szCs w:val="24"/>
        </w:rPr>
        <w:t xml:space="preserve"> b</w:t>
      </w:r>
      <w:r w:rsidR="00D66635">
        <w:rPr>
          <w:rFonts w:ascii="Times New Roman" w:hAnsi="Times New Roman" w:cs="Times New Roman"/>
          <w:sz w:val="24"/>
          <w:szCs w:val="24"/>
        </w:rPr>
        <w:t xml:space="preserve">rought </w:t>
      </w:r>
      <w:r w:rsidRPr="00C502B3">
        <w:rPr>
          <w:rFonts w:ascii="Times New Roman" w:hAnsi="Times New Roman" w:cs="Times New Roman"/>
          <w:sz w:val="24"/>
          <w:szCs w:val="24"/>
        </w:rPr>
        <w:t>5 disciplinary proceedings against him. The ECHR concluded that the scrutiny applied to the complainant was too far-reaching, especially given the need to protect a group of people in judicial functions from measures that could threaten their independence and judicial autonomy</w:t>
      </w:r>
      <w:r w:rsidR="00DF2B4F">
        <w:rPr>
          <w:rStyle w:val="Odwoanieprzypisudolnego"/>
          <w:rFonts w:ascii="Times New Roman" w:hAnsi="Times New Roman" w:cs="Times New Roman"/>
          <w:sz w:val="24"/>
          <w:szCs w:val="24"/>
        </w:rPr>
        <w:footnoteReference w:id="19"/>
      </w:r>
      <w:r w:rsidRPr="00C502B3">
        <w:rPr>
          <w:rFonts w:ascii="Times New Roman" w:hAnsi="Times New Roman" w:cs="Times New Roman"/>
          <w:sz w:val="24"/>
          <w:szCs w:val="24"/>
        </w:rPr>
        <w:t>.</w:t>
      </w:r>
    </w:p>
    <w:p w14:paraId="7800DA33" w14:textId="4A24D0C1" w:rsidR="40B4F9AC" w:rsidRDefault="40B4F9AC" w:rsidP="43E85BC1">
      <w:pPr>
        <w:ind w:left="360"/>
        <w:jc w:val="both"/>
        <w:rPr>
          <w:rFonts w:ascii="Times New Roman" w:hAnsi="Times New Roman" w:cs="Times New Roman"/>
          <w:sz w:val="24"/>
          <w:szCs w:val="24"/>
        </w:rPr>
      </w:pPr>
      <w:r w:rsidRPr="43E85BC1">
        <w:rPr>
          <w:rFonts w:ascii="Times New Roman" w:hAnsi="Times New Roman" w:cs="Times New Roman"/>
          <w:sz w:val="24"/>
          <w:szCs w:val="24"/>
        </w:rPr>
        <w:t>Judgements:</w:t>
      </w:r>
    </w:p>
    <w:p w14:paraId="29929F19" w14:textId="66AF3E60" w:rsidR="40B4F9AC" w:rsidRDefault="40B4F9AC" w:rsidP="43E85BC1">
      <w:pPr>
        <w:ind w:left="360"/>
        <w:jc w:val="both"/>
      </w:pPr>
      <w:r w:rsidRPr="43E85BC1">
        <w:rPr>
          <w:rFonts w:ascii="Times New Roman" w:hAnsi="Times New Roman" w:cs="Times New Roman"/>
          <w:sz w:val="24"/>
          <w:szCs w:val="24"/>
        </w:rPr>
        <w:t>Judgement of the Constitutional Tribunal of 9.06.1998, K 28/97, OTK 1998/4/50</w:t>
      </w:r>
    </w:p>
    <w:p w14:paraId="2D8241DB" w14:textId="393C1AF7" w:rsidR="40B4F9AC" w:rsidRDefault="40B4F9AC" w:rsidP="43E85BC1">
      <w:pPr>
        <w:ind w:left="360"/>
        <w:jc w:val="both"/>
      </w:pPr>
      <w:r w:rsidRPr="43E85BC1">
        <w:rPr>
          <w:rFonts w:ascii="Times New Roman" w:hAnsi="Times New Roman" w:cs="Times New Roman"/>
          <w:sz w:val="24"/>
          <w:szCs w:val="24"/>
        </w:rPr>
        <w:t>Judgement of the Constitutional Tribunal of z 24.06.1998 r., K 3/98; OTK 1998/4/52</w:t>
      </w:r>
    </w:p>
    <w:p w14:paraId="3298A2DA" w14:textId="33C63976" w:rsidR="40B4F9AC" w:rsidRDefault="40B4F9AC" w:rsidP="43E85BC1">
      <w:pPr>
        <w:ind w:left="360"/>
        <w:jc w:val="both"/>
      </w:pPr>
      <w:r w:rsidRPr="43E85BC1">
        <w:rPr>
          <w:rFonts w:ascii="Times New Roman" w:hAnsi="Times New Roman" w:cs="Times New Roman"/>
          <w:sz w:val="24"/>
          <w:szCs w:val="24"/>
        </w:rPr>
        <w:t xml:space="preserve">Judgement of the Constitutional Tribunal of 27.01.1999, K 1/98, OTK 1999/1/3  </w:t>
      </w:r>
    </w:p>
    <w:p w14:paraId="719B9EF3" w14:textId="01501585" w:rsidR="40B4F9AC" w:rsidRDefault="40B4F9AC" w:rsidP="43E85BC1">
      <w:pPr>
        <w:ind w:left="360"/>
        <w:jc w:val="both"/>
      </w:pPr>
      <w:r w:rsidRPr="43E85BC1">
        <w:rPr>
          <w:rFonts w:ascii="Times New Roman" w:hAnsi="Times New Roman" w:cs="Times New Roman"/>
          <w:sz w:val="24"/>
          <w:szCs w:val="24"/>
        </w:rPr>
        <w:t>Judgement of the Constitutional Tribunal of 16.11.1999, SK 11/99, OTK 1999/7/158</w:t>
      </w:r>
    </w:p>
    <w:p w14:paraId="11CC4AD4" w14:textId="7D9C4D72" w:rsidR="40B4F9AC" w:rsidRDefault="40B4F9AC" w:rsidP="43E85BC1">
      <w:pPr>
        <w:ind w:left="360"/>
        <w:jc w:val="both"/>
      </w:pPr>
      <w:r w:rsidRPr="43E85BC1">
        <w:rPr>
          <w:rFonts w:ascii="Times New Roman" w:hAnsi="Times New Roman" w:cs="Times New Roman"/>
          <w:sz w:val="24"/>
          <w:szCs w:val="24"/>
        </w:rPr>
        <w:t xml:space="preserve">Judgement of the Constitutional Tribunal of 11.06.2002, SK 5/02, OTK-A 2002/4/41 </w:t>
      </w:r>
    </w:p>
    <w:p w14:paraId="6C58E399" w14:textId="61785396" w:rsidR="40B4F9AC" w:rsidRDefault="40B4F9AC" w:rsidP="43E85BC1">
      <w:pPr>
        <w:ind w:left="360"/>
        <w:jc w:val="both"/>
      </w:pPr>
      <w:r w:rsidRPr="43E85BC1">
        <w:rPr>
          <w:rFonts w:ascii="Times New Roman" w:hAnsi="Times New Roman" w:cs="Times New Roman"/>
          <w:sz w:val="24"/>
          <w:szCs w:val="24"/>
        </w:rPr>
        <w:t>Judgement of the Constitutional Tribunal of 6.12.2004, SK 29/04, OTK-A 2004/11/114</w:t>
      </w:r>
    </w:p>
    <w:p w14:paraId="746C6CFE" w14:textId="39462E0F" w:rsidR="40B4F9AC" w:rsidRDefault="40B4F9AC" w:rsidP="43E85BC1">
      <w:pPr>
        <w:ind w:left="360"/>
        <w:jc w:val="both"/>
      </w:pPr>
      <w:r w:rsidRPr="43E85BC1">
        <w:rPr>
          <w:rFonts w:ascii="Times New Roman" w:hAnsi="Times New Roman" w:cs="Times New Roman"/>
          <w:sz w:val="24"/>
          <w:szCs w:val="24"/>
        </w:rPr>
        <w:t>Judgement of the Constitutional Tribunal of 19.07.2005, K 28/04, OTK-A 2005/7/81</w:t>
      </w:r>
    </w:p>
    <w:p w14:paraId="1D5572FE" w14:textId="598ABB14" w:rsidR="40B4F9AC" w:rsidRDefault="40B4F9AC" w:rsidP="43E85BC1">
      <w:pPr>
        <w:ind w:left="360"/>
        <w:jc w:val="both"/>
      </w:pPr>
      <w:r w:rsidRPr="43E85BC1">
        <w:rPr>
          <w:rFonts w:ascii="Times New Roman" w:hAnsi="Times New Roman" w:cs="Times New Roman"/>
          <w:sz w:val="24"/>
          <w:szCs w:val="24"/>
        </w:rPr>
        <w:t xml:space="preserve"> </w:t>
      </w:r>
    </w:p>
    <w:p w14:paraId="25CA431D" w14:textId="3809D6CE" w:rsidR="40B4F9AC" w:rsidRDefault="40B4F9AC" w:rsidP="43E85BC1">
      <w:pPr>
        <w:ind w:left="360"/>
        <w:jc w:val="both"/>
      </w:pPr>
      <w:r w:rsidRPr="43E85BC1">
        <w:rPr>
          <w:rFonts w:ascii="Times New Roman" w:hAnsi="Times New Roman" w:cs="Times New Roman"/>
          <w:sz w:val="24"/>
          <w:szCs w:val="24"/>
        </w:rPr>
        <w:t xml:space="preserve">Judgement of the CJEU of 17.02.2017, C-503/15, Ramón Margarit </w:t>
      </w:r>
      <w:proofErr w:type="spellStart"/>
      <w:r w:rsidRPr="43E85BC1">
        <w:rPr>
          <w:rFonts w:ascii="Times New Roman" w:hAnsi="Times New Roman" w:cs="Times New Roman"/>
          <w:sz w:val="24"/>
          <w:szCs w:val="24"/>
        </w:rPr>
        <w:t>Panicello</w:t>
      </w:r>
      <w:proofErr w:type="spellEnd"/>
      <w:r w:rsidRPr="43E85BC1">
        <w:rPr>
          <w:rFonts w:ascii="Times New Roman" w:hAnsi="Times New Roman" w:cs="Times New Roman"/>
          <w:sz w:val="24"/>
          <w:szCs w:val="24"/>
        </w:rPr>
        <w:t xml:space="preserve"> v Pilar Hernández Martínez, EU:C:2017:126</w:t>
      </w:r>
    </w:p>
    <w:p w14:paraId="7E168669" w14:textId="219EB08C" w:rsidR="40B4F9AC" w:rsidRPr="00013EF9" w:rsidRDefault="40B4F9AC" w:rsidP="43E85BC1">
      <w:pPr>
        <w:ind w:left="360"/>
        <w:jc w:val="both"/>
        <w:rPr>
          <w:lang w:val="pl-PL"/>
        </w:rPr>
      </w:pPr>
      <w:proofErr w:type="spellStart"/>
      <w:r w:rsidRPr="00013EF9">
        <w:rPr>
          <w:rFonts w:ascii="Times New Roman" w:hAnsi="Times New Roman" w:cs="Times New Roman"/>
          <w:sz w:val="24"/>
          <w:szCs w:val="24"/>
          <w:lang w:val="pl-PL"/>
        </w:rPr>
        <w:t>Judgement</w:t>
      </w:r>
      <w:proofErr w:type="spellEnd"/>
      <w:r w:rsidRPr="00013EF9">
        <w:rPr>
          <w:rFonts w:ascii="Times New Roman" w:hAnsi="Times New Roman" w:cs="Times New Roman"/>
          <w:sz w:val="24"/>
          <w:szCs w:val="24"/>
          <w:lang w:val="pl-PL"/>
        </w:rPr>
        <w:t xml:space="preserve"> of the CJEU of 19.11.2019, C585/18, C624/18 i C625/18, A. K. v. Krajowa </w:t>
      </w:r>
      <w:proofErr w:type="spellStart"/>
      <w:r w:rsidRPr="00013EF9">
        <w:rPr>
          <w:rFonts w:ascii="Times New Roman" w:hAnsi="Times New Roman" w:cs="Times New Roman"/>
          <w:sz w:val="24"/>
          <w:szCs w:val="24"/>
          <w:lang w:val="pl-PL"/>
        </w:rPr>
        <w:t>Radza</w:t>
      </w:r>
      <w:proofErr w:type="spellEnd"/>
      <w:r w:rsidRPr="00013EF9">
        <w:rPr>
          <w:rFonts w:ascii="Times New Roman" w:hAnsi="Times New Roman" w:cs="Times New Roman"/>
          <w:sz w:val="24"/>
          <w:szCs w:val="24"/>
          <w:lang w:val="pl-PL"/>
        </w:rPr>
        <w:t xml:space="preserve"> Sądownictwa and CP, DO v. Sąd Najwyższy, EU:C:2019:982 </w:t>
      </w:r>
    </w:p>
    <w:p w14:paraId="34760C7E" w14:textId="50A6FB6E" w:rsidR="40B4F9AC" w:rsidRDefault="40B4F9AC" w:rsidP="43E85BC1">
      <w:pPr>
        <w:ind w:left="360"/>
        <w:jc w:val="both"/>
      </w:pPr>
      <w:r w:rsidRPr="43E85BC1">
        <w:rPr>
          <w:rFonts w:ascii="Times New Roman" w:hAnsi="Times New Roman" w:cs="Times New Roman"/>
          <w:sz w:val="24"/>
          <w:szCs w:val="24"/>
        </w:rPr>
        <w:lastRenderedPageBreak/>
        <w:t>Judgement of the CJEU of 15.07.2021, C-791/19, European Commission v  Republic of Poland, LEX nr 3196950</w:t>
      </w:r>
    </w:p>
    <w:p w14:paraId="56B02E62" w14:textId="54D64B38" w:rsidR="40B4F9AC" w:rsidRDefault="40B4F9AC" w:rsidP="43E85BC1">
      <w:pPr>
        <w:ind w:left="360"/>
        <w:jc w:val="both"/>
      </w:pPr>
      <w:r w:rsidRPr="43E85BC1">
        <w:rPr>
          <w:rFonts w:ascii="Times New Roman" w:hAnsi="Times New Roman" w:cs="Times New Roman"/>
          <w:sz w:val="24"/>
          <w:szCs w:val="24"/>
        </w:rPr>
        <w:t xml:space="preserve"> </w:t>
      </w:r>
    </w:p>
    <w:p w14:paraId="37B2E3D4" w14:textId="3BB1DEA1" w:rsidR="40B4F9AC" w:rsidRDefault="40B4F9AC" w:rsidP="43E85BC1">
      <w:pPr>
        <w:ind w:left="360"/>
        <w:jc w:val="both"/>
      </w:pPr>
      <w:r w:rsidRPr="43E85BC1">
        <w:rPr>
          <w:rFonts w:ascii="Times New Roman" w:hAnsi="Times New Roman" w:cs="Times New Roman"/>
          <w:sz w:val="24"/>
          <w:szCs w:val="24"/>
        </w:rPr>
        <w:t xml:space="preserve">Judgement of the ECHR of 09.10.2009, 6945/04, </w:t>
      </w:r>
      <w:proofErr w:type="spellStart"/>
      <w:r w:rsidRPr="43E85BC1">
        <w:rPr>
          <w:rFonts w:ascii="Times New Roman" w:hAnsi="Times New Roman" w:cs="Times New Roman"/>
          <w:sz w:val="24"/>
          <w:szCs w:val="24"/>
        </w:rPr>
        <w:t>Ilatovskiy</w:t>
      </w:r>
      <w:proofErr w:type="spellEnd"/>
      <w:r w:rsidRPr="43E85BC1">
        <w:rPr>
          <w:rFonts w:ascii="Times New Roman" w:hAnsi="Times New Roman" w:cs="Times New Roman"/>
          <w:sz w:val="24"/>
          <w:szCs w:val="24"/>
        </w:rPr>
        <w:t xml:space="preserve"> v. Russia, HUDOC</w:t>
      </w:r>
    </w:p>
    <w:p w14:paraId="470FCF4B" w14:textId="7A8DBF6B" w:rsidR="40B4F9AC" w:rsidRDefault="40B4F9AC" w:rsidP="43E85BC1">
      <w:pPr>
        <w:ind w:left="360"/>
        <w:jc w:val="both"/>
      </w:pPr>
      <w:r w:rsidRPr="43E85BC1">
        <w:rPr>
          <w:rFonts w:ascii="Times New Roman" w:hAnsi="Times New Roman" w:cs="Times New Roman"/>
          <w:sz w:val="24"/>
          <w:szCs w:val="24"/>
        </w:rPr>
        <w:t xml:space="preserve">Judgement of the ECHR of 12.03.2019, 26374/18, Guðmundur Andri </w:t>
      </w:r>
      <w:proofErr w:type="spellStart"/>
      <w:r w:rsidRPr="43E85BC1">
        <w:rPr>
          <w:rFonts w:ascii="Times New Roman" w:hAnsi="Times New Roman" w:cs="Times New Roman"/>
          <w:sz w:val="24"/>
          <w:szCs w:val="24"/>
        </w:rPr>
        <w:t>Ástráðsson</w:t>
      </w:r>
      <w:proofErr w:type="spellEnd"/>
      <w:r w:rsidRPr="43E85BC1">
        <w:rPr>
          <w:rFonts w:ascii="Times New Roman" w:hAnsi="Times New Roman" w:cs="Times New Roman"/>
          <w:sz w:val="24"/>
          <w:szCs w:val="24"/>
        </w:rPr>
        <w:t xml:space="preserve"> v. </w:t>
      </w:r>
      <w:proofErr w:type="spellStart"/>
      <w:r w:rsidRPr="43E85BC1">
        <w:rPr>
          <w:rFonts w:ascii="Times New Roman" w:hAnsi="Times New Roman" w:cs="Times New Roman"/>
          <w:sz w:val="24"/>
          <w:szCs w:val="24"/>
        </w:rPr>
        <w:t>Islandia</w:t>
      </w:r>
      <w:proofErr w:type="spellEnd"/>
      <w:r w:rsidRPr="43E85BC1">
        <w:rPr>
          <w:rFonts w:ascii="Times New Roman" w:hAnsi="Times New Roman" w:cs="Times New Roman"/>
          <w:sz w:val="24"/>
          <w:szCs w:val="24"/>
        </w:rPr>
        <w:t>, HUDOC</w:t>
      </w:r>
    </w:p>
    <w:p w14:paraId="0FDA0E86" w14:textId="52A88C45" w:rsidR="40B4F9AC" w:rsidRDefault="40B4F9AC" w:rsidP="43E85BC1">
      <w:pPr>
        <w:ind w:left="360"/>
        <w:jc w:val="both"/>
      </w:pPr>
      <w:r w:rsidRPr="43E85BC1">
        <w:rPr>
          <w:rFonts w:ascii="Times New Roman" w:hAnsi="Times New Roman" w:cs="Times New Roman"/>
          <w:sz w:val="24"/>
          <w:szCs w:val="24"/>
        </w:rPr>
        <w:t xml:space="preserve">Judgement of the </w:t>
      </w:r>
      <w:proofErr w:type="spellStart"/>
      <w:r w:rsidRPr="43E85BC1">
        <w:rPr>
          <w:rFonts w:ascii="Times New Roman" w:hAnsi="Times New Roman" w:cs="Times New Roman"/>
          <w:sz w:val="24"/>
          <w:szCs w:val="24"/>
        </w:rPr>
        <w:t>the</w:t>
      </w:r>
      <w:proofErr w:type="spellEnd"/>
      <w:r w:rsidRPr="43E85BC1">
        <w:rPr>
          <w:rFonts w:ascii="Times New Roman" w:hAnsi="Times New Roman" w:cs="Times New Roman"/>
          <w:sz w:val="24"/>
          <w:szCs w:val="24"/>
        </w:rPr>
        <w:t xml:space="preserve"> ECHR of 29.06.2021 r., 26691/18, 27367/18, Broda and </w:t>
      </w:r>
      <w:proofErr w:type="spellStart"/>
      <w:r w:rsidRPr="43E85BC1">
        <w:rPr>
          <w:rFonts w:ascii="Times New Roman" w:hAnsi="Times New Roman" w:cs="Times New Roman"/>
          <w:sz w:val="24"/>
          <w:szCs w:val="24"/>
        </w:rPr>
        <w:t>Bojara</w:t>
      </w:r>
      <w:proofErr w:type="spellEnd"/>
      <w:r w:rsidRPr="43E85BC1">
        <w:rPr>
          <w:rFonts w:ascii="Times New Roman" w:hAnsi="Times New Roman" w:cs="Times New Roman"/>
          <w:sz w:val="24"/>
          <w:szCs w:val="24"/>
        </w:rPr>
        <w:t xml:space="preserve"> v. Poland, HUDOC </w:t>
      </w:r>
    </w:p>
    <w:p w14:paraId="58663380" w14:textId="076CAED2" w:rsidR="40B4F9AC" w:rsidRDefault="40B4F9AC" w:rsidP="43E85BC1">
      <w:pPr>
        <w:ind w:left="360"/>
        <w:jc w:val="both"/>
        <w:rPr>
          <w:rFonts w:ascii="Times New Roman" w:hAnsi="Times New Roman" w:cs="Times New Roman"/>
          <w:sz w:val="24"/>
          <w:szCs w:val="24"/>
        </w:rPr>
      </w:pPr>
      <w:r w:rsidRPr="43E85BC1">
        <w:rPr>
          <w:rFonts w:ascii="Times New Roman" w:hAnsi="Times New Roman" w:cs="Times New Roman"/>
          <w:sz w:val="24"/>
          <w:szCs w:val="24"/>
        </w:rPr>
        <w:t xml:space="preserve">Judgement of the ECHR of 15.03.2022 r., 43572/18, </w:t>
      </w:r>
      <w:proofErr w:type="spellStart"/>
      <w:r w:rsidRPr="43E85BC1">
        <w:rPr>
          <w:rFonts w:ascii="Times New Roman" w:hAnsi="Times New Roman" w:cs="Times New Roman"/>
          <w:sz w:val="24"/>
          <w:szCs w:val="24"/>
        </w:rPr>
        <w:t>Grzęda</w:t>
      </w:r>
      <w:proofErr w:type="spellEnd"/>
      <w:r w:rsidRPr="43E85BC1">
        <w:rPr>
          <w:rFonts w:ascii="Times New Roman" w:hAnsi="Times New Roman" w:cs="Times New Roman"/>
          <w:sz w:val="24"/>
          <w:szCs w:val="24"/>
        </w:rPr>
        <w:t xml:space="preserve"> v. Poland, HUDOC</w:t>
      </w:r>
    </w:p>
    <w:p w14:paraId="7FD585D7" w14:textId="771D434C" w:rsidR="40B4F9AC" w:rsidRDefault="40B4F9AC" w:rsidP="43E85BC1">
      <w:pPr>
        <w:ind w:left="360"/>
        <w:jc w:val="both"/>
      </w:pPr>
      <w:r w:rsidRPr="43E85BC1">
        <w:rPr>
          <w:rFonts w:ascii="Times New Roman" w:hAnsi="Times New Roman" w:cs="Times New Roman"/>
          <w:sz w:val="24"/>
          <w:szCs w:val="24"/>
        </w:rPr>
        <w:t xml:space="preserve">Judgement of the ECHR of 16.06.2022 r., 39650/18, </w:t>
      </w:r>
      <w:proofErr w:type="spellStart"/>
      <w:r w:rsidRPr="43E85BC1">
        <w:rPr>
          <w:rFonts w:ascii="Times New Roman" w:hAnsi="Times New Roman" w:cs="Times New Roman"/>
          <w:sz w:val="24"/>
          <w:szCs w:val="24"/>
        </w:rPr>
        <w:t>Żurek</w:t>
      </w:r>
      <w:proofErr w:type="spellEnd"/>
      <w:r w:rsidRPr="43E85BC1">
        <w:rPr>
          <w:rFonts w:ascii="Times New Roman" w:hAnsi="Times New Roman" w:cs="Times New Roman"/>
          <w:sz w:val="24"/>
          <w:szCs w:val="24"/>
        </w:rPr>
        <w:t xml:space="preserve"> v. Poland, HUDOC</w:t>
      </w:r>
    </w:p>
    <w:p w14:paraId="6987193B" w14:textId="6147F0BC" w:rsidR="43E85BC1" w:rsidRDefault="43E85BC1" w:rsidP="43E85BC1">
      <w:pPr>
        <w:ind w:left="360"/>
        <w:jc w:val="both"/>
        <w:rPr>
          <w:rFonts w:ascii="Times New Roman" w:hAnsi="Times New Roman" w:cs="Times New Roman"/>
          <w:sz w:val="24"/>
          <w:szCs w:val="24"/>
        </w:rPr>
      </w:pPr>
    </w:p>
    <w:p w14:paraId="310CEBA4" w14:textId="5F116632" w:rsidR="43E85BC1" w:rsidRDefault="43E85BC1" w:rsidP="43E85BC1">
      <w:pPr>
        <w:ind w:left="360"/>
        <w:jc w:val="both"/>
        <w:rPr>
          <w:rFonts w:ascii="Times New Roman" w:hAnsi="Times New Roman" w:cs="Times New Roman"/>
          <w:sz w:val="24"/>
          <w:szCs w:val="24"/>
        </w:rPr>
      </w:pPr>
    </w:p>
    <w:sectPr w:rsidR="43E85BC1">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74211" w14:textId="77777777" w:rsidR="005D0BD8" w:rsidRDefault="005D0BD8" w:rsidP="005E6798">
      <w:pPr>
        <w:spacing w:after="0" w:line="240" w:lineRule="auto"/>
      </w:pPr>
      <w:r>
        <w:separator/>
      </w:r>
    </w:p>
  </w:endnote>
  <w:endnote w:type="continuationSeparator" w:id="0">
    <w:p w14:paraId="28752D03" w14:textId="77777777" w:rsidR="005D0BD8" w:rsidRDefault="005D0BD8" w:rsidP="005E6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43E85BC1" w14:paraId="4EA00988" w14:textId="77777777" w:rsidTr="00013EF9">
      <w:trPr>
        <w:trHeight w:val="300"/>
      </w:trPr>
      <w:tc>
        <w:tcPr>
          <w:tcW w:w="3020" w:type="dxa"/>
        </w:tcPr>
        <w:p w14:paraId="0AD0CB26" w14:textId="7EE87DAB" w:rsidR="43E85BC1" w:rsidRDefault="43E85BC1" w:rsidP="00013EF9">
          <w:pPr>
            <w:pStyle w:val="Nagwek"/>
            <w:ind w:left="-115"/>
          </w:pPr>
        </w:p>
      </w:tc>
      <w:tc>
        <w:tcPr>
          <w:tcW w:w="3020" w:type="dxa"/>
        </w:tcPr>
        <w:p w14:paraId="498DEB78" w14:textId="5E1D4E0C" w:rsidR="43E85BC1" w:rsidRDefault="43E85BC1" w:rsidP="00013EF9">
          <w:pPr>
            <w:pStyle w:val="Nagwek"/>
            <w:jc w:val="center"/>
          </w:pPr>
        </w:p>
      </w:tc>
      <w:tc>
        <w:tcPr>
          <w:tcW w:w="3020" w:type="dxa"/>
        </w:tcPr>
        <w:p w14:paraId="31FCC431" w14:textId="136B323D" w:rsidR="43E85BC1" w:rsidRDefault="43E85BC1" w:rsidP="00013EF9">
          <w:pPr>
            <w:pStyle w:val="Nagwek"/>
            <w:ind w:right="-115"/>
            <w:jc w:val="right"/>
          </w:pPr>
        </w:p>
      </w:tc>
    </w:tr>
  </w:tbl>
  <w:p w14:paraId="61740498" w14:textId="1D8C0F3D" w:rsidR="43E85BC1" w:rsidRDefault="43E85BC1" w:rsidP="00013EF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45349" w14:textId="77777777" w:rsidR="005D0BD8" w:rsidRDefault="005D0BD8" w:rsidP="005E6798">
      <w:pPr>
        <w:spacing w:after="0" w:line="240" w:lineRule="auto"/>
      </w:pPr>
      <w:r>
        <w:separator/>
      </w:r>
    </w:p>
  </w:footnote>
  <w:footnote w:type="continuationSeparator" w:id="0">
    <w:p w14:paraId="198EAFBE" w14:textId="77777777" w:rsidR="005D0BD8" w:rsidRDefault="005D0BD8" w:rsidP="005E6798">
      <w:pPr>
        <w:spacing w:after="0" w:line="240" w:lineRule="auto"/>
      </w:pPr>
      <w:r>
        <w:continuationSeparator/>
      </w:r>
    </w:p>
  </w:footnote>
  <w:footnote w:id="1">
    <w:p w14:paraId="29979D04" w14:textId="0E98AC61" w:rsidR="00C502B3" w:rsidRPr="00C502B3" w:rsidRDefault="00C502B3" w:rsidP="00D838EC">
      <w:pPr>
        <w:pStyle w:val="Tekstprzypisudolnego"/>
        <w:jc w:val="both"/>
      </w:pPr>
      <w:r>
        <w:rPr>
          <w:rStyle w:val="Odwoanieprzypisudolnego"/>
        </w:rPr>
        <w:footnoteRef/>
      </w:r>
      <w:r>
        <w:t xml:space="preserve"> </w:t>
      </w:r>
      <w:r w:rsidR="00195B01">
        <w:t xml:space="preserve">Constitution of the Republic of Poland of 2 April 1997 (Journal of Laws No. 78, item 483 as amended). </w:t>
      </w:r>
    </w:p>
  </w:footnote>
  <w:footnote w:id="2">
    <w:p w14:paraId="1B360964" w14:textId="358CC3E7" w:rsidR="005E4EA6" w:rsidRPr="005E4EA6" w:rsidRDefault="005E4EA6" w:rsidP="00D838EC">
      <w:pPr>
        <w:pStyle w:val="Tekstprzypisudolnego"/>
        <w:jc w:val="both"/>
      </w:pPr>
      <w:r>
        <w:rPr>
          <w:rStyle w:val="Odwoanieprzypisudolnego"/>
        </w:rPr>
        <w:footnoteRef/>
      </w:r>
      <w:r w:rsidR="43E85BC1">
        <w:t xml:space="preserve"> </w:t>
      </w:r>
      <w:r w:rsidR="43E85BC1" w:rsidRPr="005E4EA6">
        <w:t>Judgement o</w:t>
      </w:r>
      <w:r w:rsidR="43E85BC1">
        <w:t xml:space="preserve">f the Constitutional Tribunal of </w:t>
      </w:r>
      <w:r w:rsidR="43E85BC1" w:rsidRPr="005E4EA6">
        <w:t xml:space="preserve">9.06.1998, K 28/97, </w:t>
      </w:r>
      <w:r w:rsidR="43E85BC1" w:rsidRPr="43E85BC1">
        <w:t>OTK 1998/4/50.</w:t>
      </w:r>
    </w:p>
  </w:footnote>
  <w:footnote w:id="3">
    <w:p w14:paraId="44E31D6B" w14:textId="1000E5A7" w:rsidR="005E4EA6" w:rsidRPr="005E4EA6" w:rsidRDefault="005E4EA6" w:rsidP="00D838EC">
      <w:pPr>
        <w:pStyle w:val="Tekstprzypisudolnego"/>
        <w:jc w:val="both"/>
      </w:pPr>
      <w:r>
        <w:rPr>
          <w:rStyle w:val="Odwoanieprzypisudolnego"/>
        </w:rPr>
        <w:footnoteRef/>
      </w:r>
      <w:r w:rsidR="43E85BC1">
        <w:t xml:space="preserve"> </w:t>
      </w:r>
      <w:r w:rsidR="43E85BC1" w:rsidRPr="005E4EA6">
        <w:t>Judgement o</w:t>
      </w:r>
      <w:r w:rsidR="43E85BC1">
        <w:t xml:space="preserve">f the Constitutional Tribunal of </w:t>
      </w:r>
      <w:r w:rsidR="43E85BC1" w:rsidRPr="005E4EA6">
        <w:t>19.07.2005,</w:t>
      </w:r>
      <w:r w:rsidR="43E85BC1">
        <w:t xml:space="preserve"> </w:t>
      </w:r>
      <w:r w:rsidR="43E85BC1" w:rsidRPr="005E4EA6">
        <w:t xml:space="preserve">K 28/04, </w:t>
      </w:r>
      <w:r w:rsidR="43E85BC1">
        <w:t>OTK-A 2005/7/81</w:t>
      </w:r>
      <w:r w:rsidR="43E85BC1" w:rsidRPr="005E4EA6">
        <w:t>.</w:t>
      </w:r>
    </w:p>
  </w:footnote>
  <w:footnote w:id="4">
    <w:p w14:paraId="089D7BB3" w14:textId="7919E108" w:rsidR="005E4EA6" w:rsidRPr="005E4EA6" w:rsidRDefault="005E4EA6" w:rsidP="00D838EC">
      <w:pPr>
        <w:pStyle w:val="Tekstprzypisudolnego"/>
        <w:jc w:val="both"/>
      </w:pPr>
      <w:r>
        <w:rPr>
          <w:rStyle w:val="Odwoanieprzypisudolnego"/>
        </w:rPr>
        <w:footnoteRef/>
      </w:r>
      <w:r w:rsidR="43E85BC1">
        <w:t xml:space="preserve"> </w:t>
      </w:r>
      <w:r w:rsidR="43E85BC1" w:rsidRPr="005E4EA6">
        <w:t>Judgement o</w:t>
      </w:r>
      <w:r w:rsidR="43E85BC1">
        <w:t xml:space="preserve">f the Constitutional Tribunal of </w:t>
      </w:r>
      <w:r w:rsidR="43E85BC1" w:rsidRPr="005E4EA6">
        <w:t>27.01.1999,</w:t>
      </w:r>
      <w:r w:rsidR="43E85BC1">
        <w:t xml:space="preserve"> </w:t>
      </w:r>
      <w:r w:rsidR="43E85BC1" w:rsidRPr="005E4EA6">
        <w:t xml:space="preserve">K 1/98, </w:t>
      </w:r>
      <w:r w:rsidR="43E85BC1">
        <w:t xml:space="preserve">OTK 1999/1/3; </w:t>
      </w:r>
      <w:r w:rsidR="43E85BC1" w:rsidRPr="005E4EA6">
        <w:t>Judgement o</w:t>
      </w:r>
      <w:r w:rsidR="43E85BC1">
        <w:t xml:space="preserve">f the Constitutional Tribunal of </w:t>
      </w:r>
      <w:r w:rsidR="43E85BC1" w:rsidRPr="00210CC1">
        <w:t xml:space="preserve">z 24.06.1998 r., K 3/98; </w:t>
      </w:r>
      <w:r w:rsidR="43E85BC1">
        <w:t>OTK 1998/4/52</w:t>
      </w:r>
      <w:r w:rsidR="43E85BC1" w:rsidRPr="005E4EA6">
        <w:t>.</w:t>
      </w:r>
    </w:p>
  </w:footnote>
  <w:footnote w:id="5">
    <w:p w14:paraId="4C8DCC5E" w14:textId="5AB05972" w:rsidR="005E4EA6" w:rsidRPr="00830F82" w:rsidRDefault="005E4EA6" w:rsidP="00D838EC">
      <w:pPr>
        <w:pStyle w:val="Tekstprzypisudolnego"/>
        <w:jc w:val="both"/>
      </w:pPr>
      <w:r>
        <w:rPr>
          <w:rStyle w:val="Odwoanieprzypisudolnego"/>
        </w:rPr>
        <w:footnoteRef/>
      </w:r>
      <w:r w:rsidR="43E85BC1">
        <w:t xml:space="preserve"> Objectivity towards the parties is sometimes treated as an aspect of impartiality indicated as a separate element of the right to court, </w:t>
      </w:r>
      <w:r w:rsidR="43E85BC1">
        <w:rPr>
          <w:color w:val="000000" w:themeColor="text1"/>
        </w:rPr>
        <w:t>see,</w:t>
      </w:r>
      <w:r w:rsidR="43E85BC1" w:rsidRPr="00210CC1">
        <w:rPr>
          <w:color w:val="000000" w:themeColor="text1"/>
        </w:rPr>
        <w:t xml:space="preserve"> </w:t>
      </w:r>
      <w:r w:rsidR="43E85BC1">
        <w:rPr>
          <w:color w:val="000000" w:themeColor="text1"/>
        </w:rPr>
        <w:t>e.g</w:t>
      </w:r>
      <w:r w:rsidR="43E85BC1" w:rsidRPr="00210CC1">
        <w:rPr>
          <w:color w:val="000000" w:themeColor="text1"/>
        </w:rPr>
        <w:t xml:space="preserve">. </w:t>
      </w:r>
      <w:r w:rsidR="43E85BC1" w:rsidRPr="00830F82">
        <w:rPr>
          <w:color w:val="000000" w:themeColor="text1"/>
        </w:rPr>
        <w:t>P. Grzegorczyk, K. Weitz [</w:t>
      </w:r>
      <w:r w:rsidR="43E85BC1">
        <w:rPr>
          <w:color w:val="000000" w:themeColor="text1"/>
        </w:rPr>
        <w:t>in</w:t>
      </w:r>
      <w:r w:rsidR="43E85BC1" w:rsidRPr="00830F82">
        <w:rPr>
          <w:color w:val="000000" w:themeColor="text1"/>
        </w:rPr>
        <w:t xml:space="preserve">:] </w:t>
      </w:r>
      <w:proofErr w:type="spellStart"/>
      <w:r w:rsidR="43E85BC1" w:rsidRPr="00013EF9">
        <w:rPr>
          <w:i/>
          <w:iCs/>
          <w:color w:val="000000" w:themeColor="text1"/>
        </w:rPr>
        <w:t>Konstytucja</w:t>
      </w:r>
      <w:proofErr w:type="spellEnd"/>
      <w:r w:rsidR="43E85BC1" w:rsidRPr="00013EF9">
        <w:rPr>
          <w:i/>
          <w:iCs/>
          <w:color w:val="000000" w:themeColor="text1"/>
        </w:rPr>
        <w:t xml:space="preserve"> RP. T</w:t>
      </w:r>
      <w:r w:rsidR="43E85BC1" w:rsidRPr="43E85BC1">
        <w:rPr>
          <w:i/>
          <w:iCs/>
          <w:color w:val="000000" w:themeColor="text1"/>
        </w:rPr>
        <w:t>om</w:t>
      </w:r>
      <w:r w:rsidR="43E85BC1" w:rsidRPr="00013EF9">
        <w:rPr>
          <w:i/>
          <w:iCs/>
          <w:color w:val="000000" w:themeColor="text1"/>
        </w:rPr>
        <w:t xml:space="preserve"> I. </w:t>
      </w:r>
      <w:proofErr w:type="spellStart"/>
      <w:r w:rsidR="43E85BC1" w:rsidRPr="00013EF9">
        <w:rPr>
          <w:i/>
          <w:iCs/>
          <w:color w:val="000000" w:themeColor="text1"/>
        </w:rPr>
        <w:t>Komentarz</w:t>
      </w:r>
      <w:proofErr w:type="spellEnd"/>
      <w:r w:rsidR="43E85BC1" w:rsidRPr="00013EF9">
        <w:rPr>
          <w:i/>
          <w:iCs/>
          <w:color w:val="000000" w:themeColor="text1"/>
        </w:rPr>
        <w:t xml:space="preserve"> do art. 1–86</w:t>
      </w:r>
      <w:r w:rsidR="43E85BC1" w:rsidRPr="00830F82">
        <w:rPr>
          <w:color w:val="000000" w:themeColor="text1"/>
        </w:rPr>
        <w:t xml:space="preserve">, </w:t>
      </w:r>
      <w:r w:rsidR="43E85BC1">
        <w:rPr>
          <w:color w:val="000000" w:themeColor="text1"/>
        </w:rPr>
        <w:t xml:space="preserve">eds. </w:t>
      </w:r>
      <w:r w:rsidR="43E85BC1" w:rsidRPr="00830F82">
        <w:rPr>
          <w:color w:val="000000" w:themeColor="text1"/>
        </w:rPr>
        <w:t xml:space="preserve">L. Bosek, M. </w:t>
      </w:r>
      <w:proofErr w:type="spellStart"/>
      <w:r w:rsidR="43E85BC1" w:rsidRPr="00830F82">
        <w:rPr>
          <w:color w:val="000000" w:themeColor="text1"/>
        </w:rPr>
        <w:t>Safjan</w:t>
      </w:r>
      <w:proofErr w:type="spellEnd"/>
      <w:r w:rsidR="43E85BC1" w:rsidRPr="00830F82">
        <w:rPr>
          <w:color w:val="000000" w:themeColor="text1"/>
        </w:rPr>
        <w:t xml:space="preserve">, </w:t>
      </w:r>
      <w:r w:rsidR="43E85BC1">
        <w:rPr>
          <w:color w:val="000000" w:themeColor="text1"/>
        </w:rPr>
        <w:t>Warszawa</w:t>
      </w:r>
      <w:r w:rsidR="43E85BC1" w:rsidRPr="00830F82">
        <w:rPr>
          <w:color w:val="000000" w:themeColor="text1"/>
        </w:rPr>
        <w:t xml:space="preserve"> 2016, art. 45, </w:t>
      </w:r>
      <w:hyperlink r:id="rId1" w:history="1">
        <w:r w:rsidR="43E85BC1" w:rsidRPr="00F73686">
          <w:rPr>
            <w:rStyle w:val="Hipercze"/>
          </w:rPr>
          <w:t>https://sip-1legalis-1pl-147d9pe5v0a7c.hps.bj.uj.edu.pl/document-view.seam?documentId=mjxw62zogizdkmjsha2tsmroobqxalrsgu4tamy&amp;refSource=toc</w:t>
        </w:r>
      </w:hyperlink>
      <w:r w:rsidR="43E85BC1">
        <w:rPr>
          <w:color w:val="000000" w:themeColor="text1"/>
        </w:rPr>
        <w:t xml:space="preserve"> </w:t>
      </w:r>
      <w:r w:rsidR="43E85BC1" w:rsidRPr="00830F82">
        <w:rPr>
          <w:color w:val="000000" w:themeColor="text1"/>
        </w:rPr>
        <w:t>[access</w:t>
      </w:r>
      <w:r w:rsidR="43E85BC1">
        <w:rPr>
          <w:color w:val="000000" w:themeColor="text1"/>
        </w:rPr>
        <w:t>ed</w:t>
      </w:r>
      <w:r w:rsidR="43E85BC1" w:rsidRPr="00830F82">
        <w:rPr>
          <w:color w:val="000000" w:themeColor="text1"/>
        </w:rPr>
        <w:t>: 26.01.2023];</w:t>
      </w:r>
      <w:r w:rsidR="43E85BC1">
        <w:rPr>
          <w:color w:val="000000" w:themeColor="text1"/>
        </w:rPr>
        <w:t xml:space="preserve"> a </w:t>
      </w:r>
      <w:r w:rsidR="43E85BC1">
        <w:t xml:space="preserve">part of the doctrine also uses the concept of independence concerning courts, </w:t>
      </w:r>
      <w:r w:rsidR="43E85BC1">
        <w:rPr>
          <w:color w:val="000000" w:themeColor="text1"/>
        </w:rPr>
        <w:t>see,</w:t>
      </w:r>
      <w:r w:rsidR="43E85BC1" w:rsidRPr="00210CC1">
        <w:rPr>
          <w:color w:val="000000" w:themeColor="text1"/>
        </w:rPr>
        <w:t xml:space="preserve"> </w:t>
      </w:r>
      <w:r w:rsidR="43E85BC1">
        <w:rPr>
          <w:color w:val="000000" w:themeColor="text1"/>
        </w:rPr>
        <w:t>e.g</w:t>
      </w:r>
      <w:r w:rsidR="43E85BC1" w:rsidRPr="00210CC1">
        <w:rPr>
          <w:color w:val="000000" w:themeColor="text1"/>
        </w:rPr>
        <w:t xml:space="preserve">. </w:t>
      </w:r>
      <w:r w:rsidR="43E85BC1">
        <w:t xml:space="preserve"> </w:t>
      </w:r>
      <w:r w:rsidR="43E85BC1" w:rsidRPr="43E85BC1">
        <w:rPr>
          <w:i/>
          <w:iCs/>
          <w:color w:val="000000" w:themeColor="text1"/>
        </w:rPr>
        <w:t>EU standards on effective judicial protection and judicial independence</w:t>
      </w:r>
      <w:r w:rsidR="43E85BC1" w:rsidRPr="00830F82">
        <w:rPr>
          <w:color w:val="000000" w:themeColor="text1"/>
        </w:rPr>
        <w:t xml:space="preserve">, </w:t>
      </w:r>
      <w:hyperlink r:id="rId2" w:history="1">
        <w:r w:rsidR="43E85BC1" w:rsidRPr="00830F82">
          <w:rPr>
            <w:rStyle w:val="Hipercze"/>
            <w:color w:val="000000" w:themeColor="text1"/>
          </w:rPr>
          <w:t>https://justice-uapl.project.uj.edu.pl/wydarzenia</w:t>
        </w:r>
      </w:hyperlink>
      <w:r w:rsidR="43E85BC1" w:rsidRPr="00830F82">
        <w:rPr>
          <w:color w:val="000000" w:themeColor="text1"/>
        </w:rPr>
        <w:t xml:space="preserve"> [</w:t>
      </w:r>
      <w:r w:rsidR="43E85BC1">
        <w:rPr>
          <w:color w:val="000000" w:themeColor="text1"/>
        </w:rPr>
        <w:t>accessed</w:t>
      </w:r>
      <w:r w:rsidR="43E85BC1" w:rsidRPr="00830F82">
        <w:rPr>
          <w:color w:val="000000" w:themeColor="text1"/>
        </w:rPr>
        <w:t>: 27.01.2023];</w:t>
      </w:r>
      <w:r w:rsidR="43E85BC1">
        <w:rPr>
          <w:color w:val="000000" w:themeColor="text1"/>
        </w:rPr>
        <w:t xml:space="preserve"> </w:t>
      </w:r>
      <w:r w:rsidR="43E85BC1">
        <w:t>the Constitution itself refers the concept of independence to courts in Article 45, and to judges in other provisions.</w:t>
      </w:r>
    </w:p>
  </w:footnote>
  <w:footnote w:id="6">
    <w:p w14:paraId="07D1D591" w14:textId="529E69C8" w:rsidR="0037029F" w:rsidRPr="0037029F" w:rsidRDefault="0037029F" w:rsidP="00D838EC">
      <w:pPr>
        <w:pStyle w:val="Tekstprzypisudolnego"/>
        <w:jc w:val="both"/>
      </w:pPr>
      <w:r>
        <w:rPr>
          <w:rStyle w:val="Odwoanieprzypisudolnego"/>
        </w:rPr>
        <w:footnoteRef/>
      </w:r>
      <w:r w:rsidR="43E85BC1">
        <w:t xml:space="preserve"> </w:t>
      </w:r>
      <w:r w:rsidR="43E85BC1" w:rsidRPr="005E4EA6">
        <w:t>Judgement o</w:t>
      </w:r>
      <w:r w:rsidR="43E85BC1">
        <w:t xml:space="preserve">f the Constitutional Tribunal of </w:t>
      </w:r>
      <w:r w:rsidR="43E85BC1" w:rsidRPr="0037029F">
        <w:t xml:space="preserve">16.11.1999, SK 11/99, </w:t>
      </w:r>
      <w:r w:rsidR="43E85BC1">
        <w:t xml:space="preserve">OTK 1999/7/158. </w:t>
      </w:r>
    </w:p>
  </w:footnote>
  <w:footnote w:id="7">
    <w:p w14:paraId="3C75DDF6" w14:textId="51AC2957" w:rsidR="0037029F" w:rsidRPr="0037029F" w:rsidRDefault="0037029F" w:rsidP="00D838EC">
      <w:pPr>
        <w:pStyle w:val="Tekstprzypisudolnego"/>
        <w:jc w:val="both"/>
      </w:pPr>
      <w:r>
        <w:rPr>
          <w:rStyle w:val="Odwoanieprzypisudolnego"/>
        </w:rPr>
        <w:footnoteRef/>
      </w:r>
      <w:r w:rsidR="43E85BC1">
        <w:t xml:space="preserve"> </w:t>
      </w:r>
      <w:r w:rsidR="43E85BC1" w:rsidRPr="005E4EA6">
        <w:t>Judgement o</w:t>
      </w:r>
      <w:r w:rsidR="43E85BC1">
        <w:t>f the Constitutional Tribunal of</w:t>
      </w:r>
      <w:r w:rsidR="43E85BC1" w:rsidRPr="0037029F">
        <w:t xml:space="preserve"> 6.12.2004, SK 29/04, </w:t>
      </w:r>
      <w:r w:rsidR="43E85BC1">
        <w:t>OTK-A 2004/11/114.</w:t>
      </w:r>
    </w:p>
  </w:footnote>
  <w:footnote w:id="8">
    <w:p w14:paraId="525D36F5" w14:textId="1FEF22C7" w:rsidR="0037029F" w:rsidRPr="0037029F" w:rsidRDefault="0037029F" w:rsidP="00D838EC">
      <w:pPr>
        <w:pStyle w:val="Tekstprzypisudolnego"/>
        <w:jc w:val="both"/>
      </w:pPr>
      <w:r>
        <w:rPr>
          <w:rStyle w:val="Odwoanieprzypisudolnego"/>
        </w:rPr>
        <w:footnoteRef/>
      </w:r>
      <w:r w:rsidR="43E85BC1">
        <w:t xml:space="preserve"> </w:t>
      </w:r>
      <w:r w:rsidR="43E85BC1" w:rsidRPr="005E4EA6">
        <w:t>Judgement o</w:t>
      </w:r>
      <w:r w:rsidR="43E85BC1">
        <w:t>f the Constitutional Tribunal of</w:t>
      </w:r>
      <w:r w:rsidR="43E85BC1" w:rsidRPr="0037029F">
        <w:t xml:space="preserve"> 11.06.2002,</w:t>
      </w:r>
      <w:r w:rsidR="43E85BC1">
        <w:t xml:space="preserve"> </w:t>
      </w:r>
      <w:r w:rsidR="43E85BC1" w:rsidRPr="0037029F">
        <w:t xml:space="preserve">SK 5/02, </w:t>
      </w:r>
      <w:r w:rsidR="43E85BC1">
        <w:t>OTK-A 2002/4/41.</w:t>
      </w:r>
    </w:p>
  </w:footnote>
  <w:footnote w:id="9">
    <w:p w14:paraId="2C302452" w14:textId="6F120702" w:rsidR="43E85BC1" w:rsidRDefault="43E85BC1" w:rsidP="00D838EC">
      <w:pPr>
        <w:pStyle w:val="Tekstprzypisudolnego"/>
        <w:jc w:val="both"/>
      </w:pPr>
      <w:r w:rsidRPr="43E85BC1">
        <w:rPr>
          <w:rStyle w:val="Odwoanieprzypisudolnego"/>
        </w:rPr>
        <w:footnoteRef/>
      </w:r>
      <w:r>
        <w:t xml:space="preserve"> Charter of Fundamental Rights of the European Union, http://data.europa.eu/eli/treaty/char_2012/oj [accessed: 23.02.2024].</w:t>
      </w:r>
    </w:p>
    <w:p w14:paraId="4D963F88" w14:textId="1CA39AE1" w:rsidR="43E85BC1" w:rsidRDefault="43E85BC1" w:rsidP="00D838EC">
      <w:pPr>
        <w:pStyle w:val="Tekstprzypisudolnego"/>
        <w:jc w:val="both"/>
      </w:pPr>
    </w:p>
  </w:footnote>
  <w:footnote w:id="10">
    <w:p w14:paraId="217654C9" w14:textId="2EE6F852" w:rsidR="43E85BC1" w:rsidRDefault="43E85BC1" w:rsidP="00D838EC">
      <w:pPr>
        <w:pStyle w:val="Tekstprzypisudolnego"/>
        <w:jc w:val="both"/>
      </w:pPr>
      <w:r w:rsidRPr="43E85BC1">
        <w:rPr>
          <w:rStyle w:val="Odwoanieprzypisudolnego"/>
        </w:rPr>
        <w:footnoteRef/>
      </w:r>
      <w:r>
        <w:t xml:space="preserve"> European Convention on Human Rights, https://www.echr.coe.int/documents/d/echr/Convention_ENG [accessed: 23.02.2024].</w:t>
      </w:r>
    </w:p>
    <w:p w14:paraId="044DF50C" w14:textId="7BFC5565" w:rsidR="43E85BC1" w:rsidRDefault="43E85BC1" w:rsidP="00D838EC">
      <w:pPr>
        <w:pStyle w:val="Tekstprzypisudolnego"/>
        <w:jc w:val="both"/>
      </w:pPr>
    </w:p>
  </w:footnote>
  <w:footnote w:id="11">
    <w:p w14:paraId="15DC92A3" w14:textId="1FFB225A" w:rsidR="0037029F" w:rsidRPr="0037029F" w:rsidRDefault="0037029F" w:rsidP="00D838EC">
      <w:pPr>
        <w:pStyle w:val="Tekstprzypisudolnego"/>
        <w:jc w:val="both"/>
      </w:pPr>
      <w:r>
        <w:rPr>
          <w:rStyle w:val="Odwoanieprzypisudolnego"/>
        </w:rPr>
        <w:footnoteRef/>
      </w:r>
      <w:r w:rsidR="43E85BC1">
        <w:t xml:space="preserve"> </w:t>
      </w:r>
      <w:r w:rsidR="43E85BC1" w:rsidRPr="005E4EA6">
        <w:t>Judgement o</w:t>
      </w:r>
      <w:r w:rsidR="43E85BC1">
        <w:t xml:space="preserve">f the </w:t>
      </w:r>
      <w:r w:rsidR="43E85BC1" w:rsidRPr="0037029F">
        <w:t>CJEU</w:t>
      </w:r>
      <w:r w:rsidR="43E85BC1">
        <w:t xml:space="preserve"> of </w:t>
      </w:r>
      <w:r w:rsidR="43E85BC1" w:rsidRPr="0037029F">
        <w:t>17.02.2017</w:t>
      </w:r>
      <w:r w:rsidR="43E85BC1">
        <w:t xml:space="preserve">, </w:t>
      </w:r>
      <w:r w:rsidR="43E85BC1" w:rsidRPr="0037029F">
        <w:t xml:space="preserve">C-503/15, </w:t>
      </w:r>
      <w:r w:rsidR="43E85BC1" w:rsidRPr="00013EF9">
        <w:rPr>
          <w:i/>
          <w:iCs/>
        </w:rPr>
        <w:t xml:space="preserve">Ramón Margarit </w:t>
      </w:r>
      <w:proofErr w:type="spellStart"/>
      <w:r w:rsidR="43E85BC1" w:rsidRPr="00013EF9">
        <w:rPr>
          <w:i/>
          <w:iCs/>
        </w:rPr>
        <w:t>Panicello</w:t>
      </w:r>
      <w:proofErr w:type="spellEnd"/>
      <w:r w:rsidR="43E85BC1" w:rsidRPr="00013EF9">
        <w:rPr>
          <w:i/>
          <w:iCs/>
        </w:rPr>
        <w:t xml:space="preserve"> v Pilar Hernández Martínez</w:t>
      </w:r>
      <w:r w:rsidR="43E85BC1" w:rsidRPr="0037029F">
        <w:t>, EU:C:2017:126.</w:t>
      </w:r>
    </w:p>
  </w:footnote>
  <w:footnote w:id="12">
    <w:p w14:paraId="7254365F" w14:textId="1015B691" w:rsidR="0037029F" w:rsidRPr="00EC3098" w:rsidRDefault="0037029F" w:rsidP="00D838EC">
      <w:pPr>
        <w:pStyle w:val="Tekstprzypisudolnego"/>
        <w:jc w:val="both"/>
      </w:pPr>
      <w:r>
        <w:rPr>
          <w:rStyle w:val="Odwoanieprzypisudolnego"/>
        </w:rPr>
        <w:footnoteRef/>
      </w:r>
      <w:r w:rsidR="43E85BC1">
        <w:t xml:space="preserve"> </w:t>
      </w:r>
      <w:r w:rsidR="43E85BC1" w:rsidRPr="005E4EA6">
        <w:t>Judgement o</w:t>
      </w:r>
      <w:r w:rsidR="43E85BC1">
        <w:t xml:space="preserve">f </w:t>
      </w:r>
      <w:r w:rsidR="43E85BC1" w:rsidRPr="00EC3098">
        <w:t>the ECHR</w:t>
      </w:r>
      <w:r w:rsidR="43E85BC1">
        <w:t xml:space="preserve"> of </w:t>
      </w:r>
      <w:r w:rsidR="43E85BC1" w:rsidRPr="00EC3098">
        <w:t xml:space="preserve">09.10.2009, 6945/04, </w:t>
      </w:r>
      <w:proofErr w:type="spellStart"/>
      <w:r w:rsidR="43E85BC1" w:rsidRPr="00013EF9">
        <w:rPr>
          <w:rStyle w:val="sbb9ee52a"/>
          <w:i/>
          <w:iCs/>
        </w:rPr>
        <w:t>Ilatovskiy</w:t>
      </w:r>
      <w:proofErr w:type="spellEnd"/>
      <w:r w:rsidR="43E85BC1" w:rsidRPr="00013EF9">
        <w:rPr>
          <w:rStyle w:val="sbb9ee52a"/>
          <w:i/>
          <w:iCs/>
        </w:rPr>
        <w:t xml:space="preserve"> v. Russia</w:t>
      </w:r>
      <w:r w:rsidR="43E85BC1" w:rsidRPr="00EC3098">
        <w:t>, HUDOC;</w:t>
      </w:r>
      <w:r w:rsidR="43E85BC1">
        <w:t xml:space="preserve"> </w:t>
      </w:r>
      <w:r w:rsidR="43E85BC1" w:rsidRPr="005E4EA6">
        <w:t>Judgement o</w:t>
      </w:r>
      <w:r w:rsidR="43E85BC1">
        <w:t xml:space="preserve">f </w:t>
      </w:r>
      <w:r w:rsidR="43E85BC1" w:rsidRPr="00EC3098">
        <w:t>the ECHR</w:t>
      </w:r>
      <w:r w:rsidR="43E85BC1">
        <w:t xml:space="preserve"> of</w:t>
      </w:r>
      <w:r w:rsidR="43E85BC1" w:rsidRPr="00EC3098">
        <w:t xml:space="preserve"> 12.03.2019, 26374/18, </w:t>
      </w:r>
      <w:r w:rsidR="43E85BC1" w:rsidRPr="00013EF9">
        <w:rPr>
          <w:i/>
          <w:iCs/>
        </w:rPr>
        <w:t xml:space="preserve">Guðmundur Andri </w:t>
      </w:r>
      <w:proofErr w:type="spellStart"/>
      <w:r w:rsidR="43E85BC1" w:rsidRPr="00013EF9">
        <w:rPr>
          <w:i/>
          <w:iCs/>
        </w:rPr>
        <w:t>Ástráðsson</w:t>
      </w:r>
      <w:proofErr w:type="spellEnd"/>
      <w:r w:rsidR="43E85BC1" w:rsidRPr="00013EF9">
        <w:rPr>
          <w:i/>
          <w:iCs/>
        </w:rPr>
        <w:t xml:space="preserve"> v. </w:t>
      </w:r>
      <w:proofErr w:type="spellStart"/>
      <w:r w:rsidR="43E85BC1" w:rsidRPr="00013EF9">
        <w:rPr>
          <w:i/>
          <w:iCs/>
        </w:rPr>
        <w:t>Islandia</w:t>
      </w:r>
      <w:proofErr w:type="spellEnd"/>
      <w:r w:rsidR="43E85BC1" w:rsidRPr="00EC3098">
        <w:t>, HUDOC</w:t>
      </w:r>
      <w:r w:rsidR="43E85BC1">
        <w:t>.</w:t>
      </w:r>
    </w:p>
  </w:footnote>
  <w:footnote w:id="13">
    <w:p w14:paraId="140A1696" w14:textId="5E67E204" w:rsidR="00AF6BF3" w:rsidRPr="00C502B3" w:rsidRDefault="00AF6BF3" w:rsidP="00D838EC">
      <w:pPr>
        <w:pStyle w:val="Tekstprzypisudolnego"/>
        <w:jc w:val="both"/>
      </w:pPr>
      <w:r>
        <w:rPr>
          <w:rStyle w:val="Odwoanieprzypisudolnego"/>
        </w:rPr>
        <w:footnoteRef/>
      </w:r>
      <w:r w:rsidR="43E85BC1">
        <w:t xml:space="preserve"> The Polish Lower House.</w:t>
      </w:r>
    </w:p>
  </w:footnote>
  <w:footnote w:id="14">
    <w:p w14:paraId="764FF031" w14:textId="6C20FB10" w:rsidR="00EC3098" w:rsidRPr="00EC3098" w:rsidRDefault="00EC3098" w:rsidP="00D838EC">
      <w:pPr>
        <w:pStyle w:val="Tekstprzypisudolnego"/>
        <w:jc w:val="both"/>
      </w:pPr>
      <w:r>
        <w:rPr>
          <w:rStyle w:val="Odwoanieprzypisudolnego"/>
        </w:rPr>
        <w:footnoteRef/>
      </w:r>
      <w:r w:rsidR="43E85BC1">
        <w:t xml:space="preserve"> T</w:t>
      </w:r>
      <w:r w:rsidR="43E85BC1" w:rsidRPr="00EC3098">
        <w:t xml:space="preserve">he </w:t>
      </w:r>
      <w:r w:rsidR="43E85BC1">
        <w:t>Act</w:t>
      </w:r>
      <w:r w:rsidR="43E85BC1" w:rsidRPr="00EC3098">
        <w:t xml:space="preserve"> of 8 December 2017</w:t>
      </w:r>
      <w:r w:rsidR="43E85BC1">
        <w:t xml:space="preserve"> </w:t>
      </w:r>
      <w:r w:rsidR="43E85BC1" w:rsidRPr="00EC3098">
        <w:t xml:space="preserve">amending the </w:t>
      </w:r>
      <w:r w:rsidR="43E85BC1">
        <w:t>Act</w:t>
      </w:r>
      <w:r w:rsidR="43E85BC1" w:rsidRPr="00EC3098">
        <w:t xml:space="preserve"> on the National Council of the Judiciary and certain other </w:t>
      </w:r>
      <w:r w:rsidR="43E85BC1">
        <w:t>Acts</w:t>
      </w:r>
      <w:r w:rsidR="43E85BC1" w:rsidRPr="00EC3098">
        <w:t xml:space="preserve"> </w:t>
      </w:r>
      <w:bookmarkStart w:id="1" w:name="_Hlk160921405"/>
      <w:r w:rsidR="43E85BC1">
        <w:t xml:space="preserve">(Journal of Laws of 2018, No. 8). </w:t>
      </w:r>
    </w:p>
    <w:bookmarkEnd w:id="1"/>
  </w:footnote>
  <w:footnote w:id="15">
    <w:p w14:paraId="7D67A93F" w14:textId="7E53CBD2" w:rsidR="00EC3098" w:rsidRPr="00013EF9" w:rsidRDefault="00EC3098" w:rsidP="00D838EC">
      <w:pPr>
        <w:pStyle w:val="Tekstprzypisudolnego"/>
        <w:jc w:val="both"/>
        <w:rPr>
          <w:lang w:val="pl-PL"/>
        </w:rPr>
      </w:pPr>
      <w:r>
        <w:rPr>
          <w:rStyle w:val="Odwoanieprzypisudolnego"/>
        </w:rPr>
        <w:footnoteRef/>
      </w:r>
      <w:r w:rsidR="43E85BC1" w:rsidRPr="00013EF9">
        <w:rPr>
          <w:lang w:val="pl-PL"/>
        </w:rPr>
        <w:t xml:space="preserve"> </w:t>
      </w:r>
      <w:proofErr w:type="spellStart"/>
      <w:r w:rsidR="43E85BC1" w:rsidRPr="00013EF9">
        <w:rPr>
          <w:lang w:val="pl-PL"/>
        </w:rPr>
        <w:t>Judgement</w:t>
      </w:r>
      <w:proofErr w:type="spellEnd"/>
      <w:r w:rsidR="43E85BC1" w:rsidRPr="00013EF9">
        <w:rPr>
          <w:lang w:val="pl-PL"/>
        </w:rPr>
        <w:t xml:space="preserve"> of the CJEU of 19.11.2019, C</w:t>
      </w:r>
      <w:r w:rsidR="43E85BC1" w:rsidRPr="00013EF9">
        <w:rPr>
          <w:lang w:val="pl-PL"/>
        </w:rPr>
        <w:noBreakHyphen/>
        <w:t>585/18, C</w:t>
      </w:r>
      <w:r w:rsidR="43E85BC1" w:rsidRPr="00013EF9">
        <w:rPr>
          <w:lang w:val="pl-PL"/>
        </w:rPr>
        <w:noBreakHyphen/>
        <w:t>624/18 i C</w:t>
      </w:r>
      <w:r w:rsidR="43E85BC1" w:rsidRPr="00013EF9">
        <w:rPr>
          <w:lang w:val="pl-PL"/>
        </w:rPr>
        <w:noBreakHyphen/>
        <w:t xml:space="preserve">625/18, </w:t>
      </w:r>
      <w:r w:rsidR="43E85BC1" w:rsidRPr="00013EF9">
        <w:rPr>
          <w:i/>
          <w:iCs/>
          <w:lang w:val="pl-PL"/>
        </w:rPr>
        <w:t xml:space="preserve">A. K. v. Krajowa </w:t>
      </w:r>
      <w:proofErr w:type="spellStart"/>
      <w:r w:rsidR="43E85BC1" w:rsidRPr="00013EF9">
        <w:rPr>
          <w:i/>
          <w:iCs/>
          <w:lang w:val="pl-PL"/>
        </w:rPr>
        <w:t>Radza</w:t>
      </w:r>
      <w:proofErr w:type="spellEnd"/>
      <w:r w:rsidR="43E85BC1" w:rsidRPr="00013EF9">
        <w:rPr>
          <w:i/>
          <w:iCs/>
          <w:lang w:val="pl-PL"/>
        </w:rPr>
        <w:t xml:space="preserve"> Sądownictwa</w:t>
      </w:r>
      <w:r w:rsidR="43E85BC1" w:rsidRPr="00013EF9">
        <w:rPr>
          <w:lang w:val="pl-PL"/>
        </w:rPr>
        <w:t xml:space="preserve"> and </w:t>
      </w:r>
      <w:r w:rsidR="43E85BC1" w:rsidRPr="00013EF9">
        <w:rPr>
          <w:i/>
          <w:iCs/>
          <w:lang w:val="pl-PL"/>
        </w:rPr>
        <w:t>CP, DO v. Sąd Najwyższy</w:t>
      </w:r>
      <w:r w:rsidR="43E85BC1" w:rsidRPr="00013EF9">
        <w:rPr>
          <w:lang w:val="pl-PL"/>
        </w:rPr>
        <w:t xml:space="preserve">, </w:t>
      </w:r>
      <w:r w:rsidR="43E85BC1" w:rsidRPr="00013EF9">
        <w:rPr>
          <w:rStyle w:val="outputecli"/>
          <w:lang w:val="pl-PL"/>
        </w:rPr>
        <w:t>EU:C:2019:982</w:t>
      </w:r>
      <w:r w:rsidR="43E85BC1" w:rsidRPr="00013EF9">
        <w:rPr>
          <w:lang w:val="pl-PL"/>
        </w:rPr>
        <w:t>.</w:t>
      </w:r>
    </w:p>
  </w:footnote>
  <w:footnote w:id="16">
    <w:p w14:paraId="69316B64" w14:textId="01A25761" w:rsidR="00AD2309" w:rsidRPr="00AD2309" w:rsidRDefault="00AD2309" w:rsidP="00D838EC">
      <w:pPr>
        <w:pStyle w:val="Tekstprzypisudolnego"/>
        <w:jc w:val="both"/>
      </w:pPr>
      <w:r>
        <w:rPr>
          <w:rStyle w:val="Odwoanieprzypisudolnego"/>
        </w:rPr>
        <w:footnoteRef/>
      </w:r>
      <w:r w:rsidR="43E85BC1">
        <w:t xml:space="preserve"> J</w:t>
      </w:r>
      <w:r w:rsidR="43E85BC1" w:rsidRPr="00AD2309">
        <w:t xml:space="preserve">udgement of the CJEU </w:t>
      </w:r>
      <w:r w:rsidR="43E85BC1">
        <w:t xml:space="preserve">of </w:t>
      </w:r>
      <w:r w:rsidR="43E85BC1" w:rsidRPr="00AD2309">
        <w:t xml:space="preserve">15.07.2021, C-791/19, </w:t>
      </w:r>
      <w:r w:rsidR="43E85BC1" w:rsidRPr="00013EF9">
        <w:rPr>
          <w:i/>
          <w:iCs/>
        </w:rPr>
        <w:t>European Commission v  Republic of Poland</w:t>
      </w:r>
      <w:r w:rsidR="43E85BC1" w:rsidRPr="00AD2309">
        <w:t>, LEX nr 3196950.</w:t>
      </w:r>
    </w:p>
  </w:footnote>
  <w:footnote w:id="17">
    <w:p w14:paraId="653F8C9E" w14:textId="7AF16AC8" w:rsidR="00AD2309" w:rsidDel="00443FF0" w:rsidRDefault="00AD2309" w:rsidP="00D838EC">
      <w:pPr>
        <w:pStyle w:val="Tekstprzypisudolnego"/>
        <w:jc w:val="both"/>
        <w:rPr>
          <w:rStyle w:val="sbb9ee52a"/>
          <w:i/>
          <w:iCs/>
          <w:sz w:val="22"/>
          <w:szCs w:val="22"/>
        </w:rPr>
      </w:pPr>
      <w:r>
        <w:rPr>
          <w:rStyle w:val="Odwoanieprzypisudolnego"/>
        </w:rPr>
        <w:footnoteRef/>
      </w:r>
      <w:r w:rsidR="43E85BC1" w:rsidRPr="00AD2309">
        <w:t xml:space="preserve"> </w:t>
      </w:r>
      <w:r w:rsidR="43E85BC1">
        <w:t>T</w:t>
      </w:r>
      <w:r w:rsidR="43E85BC1" w:rsidRPr="00DF2B4F">
        <w:t>he Act</w:t>
      </w:r>
      <w:r w:rsidR="43E85BC1">
        <w:t xml:space="preserve"> of 12 July 2017</w:t>
      </w:r>
      <w:r w:rsidR="43E85BC1" w:rsidRPr="00DF2B4F">
        <w:t xml:space="preserve"> </w:t>
      </w:r>
      <w:r w:rsidR="43E85BC1">
        <w:t>amending</w:t>
      </w:r>
      <w:r w:rsidR="43E85BC1" w:rsidRPr="00DF2B4F">
        <w:t xml:space="preserve"> the </w:t>
      </w:r>
      <w:r w:rsidR="43E85BC1">
        <w:t>Act</w:t>
      </w:r>
      <w:r w:rsidR="43E85BC1" w:rsidRPr="00DF2B4F">
        <w:t xml:space="preserve"> on the System of Common Courts and Other Acts</w:t>
      </w:r>
      <w:r w:rsidR="43E85BC1">
        <w:t xml:space="preserve"> (Journal of Laws of 2017, item </w:t>
      </w:r>
      <w:r w:rsidR="43E85BC1" w:rsidRPr="00DF2B4F">
        <w:t>1452</w:t>
      </w:r>
      <w:r w:rsidR="43E85BC1">
        <w:t xml:space="preserve">), </w:t>
      </w:r>
      <w:r w:rsidR="43E85BC1" w:rsidRPr="00AD2309">
        <w:t xml:space="preserve">Article 17(1): </w:t>
      </w:r>
      <w:r w:rsidR="43E85BC1" w:rsidRPr="43E85BC1">
        <w:rPr>
          <w:rStyle w:val="sbb9ee52a"/>
          <w:i/>
          <w:iCs/>
        </w:rPr>
        <w:t>Presidents and vice-presidents of courts appointed on the basis of the provisions of the Act amended in Art. 1, in its current wording, may be cancelled by the Minister of Justice within a period not longer than 6 months from the date of entry into force of this Act, without upholding the requirements specified in Art. 27 of the Act amended in Art. 1, as amended by this Act.</w:t>
      </w:r>
    </w:p>
  </w:footnote>
  <w:footnote w:id="18">
    <w:p w14:paraId="37527A8C" w14:textId="76EF77CE" w:rsidR="00DF2B4F" w:rsidRPr="00DF2B4F" w:rsidRDefault="00DF2B4F" w:rsidP="00D838EC">
      <w:pPr>
        <w:pStyle w:val="Tekstprzypisudolnego"/>
        <w:jc w:val="both"/>
      </w:pPr>
      <w:r>
        <w:rPr>
          <w:rStyle w:val="Odwoanieprzypisudolnego"/>
        </w:rPr>
        <w:footnoteRef/>
      </w:r>
      <w:r w:rsidR="43E85BC1">
        <w:t xml:space="preserve"> </w:t>
      </w:r>
      <w:r w:rsidR="43E85BC1" w:rsidRPr="005E4EA6">
        <w:t>Judgement o</w:t>
      </w:r>
      <w:r w:rsidR="43E85BC1">
        <w:t xml:space="preserve">f the </w:t>
      </w:r>
      <w:proofErr w:type="spellStart"/>
      <w:r w:rsidR="43E85BC1" w:rsidRPr="00EC3098">
        <w:t>the</w:t>
      </w:r>
      <w:proofErr w:type="spellEnd"/>
      <w:r w:rsidR="43E85BC1" w:rsidRPr="00EC3098">
        <w:t xml:space="preserve"> ECHR</w:t>
      </w:r>
      <w:r w:rsidR="43E85BC1">
        <w:t xml:space="preserve"> of </w:t>
      </w:r>
      <w:r w:rsidR="43E85BC1" w:rsidRPr="00DF2B4F">
        <w:t>29.06.2021 r., 26691/18</w:t>
      </w:r>
      <w:r w:rsidR="43E85BC1">
        <w:t>,</w:t>
      </w:r>
      <w:r w:rsidR="43E85BC1" w:rsidRPr="00DF2B4F">
        <w:t xml:space="preserve"> 27367/18, </w:t>
      </w:r>
      <w:r w:rsidR="43E85BC1" w:rsidRPr="00013EF9">
        <w:rPr>
          <w:rStyle w:val="sbb9ee52a"/>
          <w:i/>
          <w:iCs/>
        </w:rPr>
        <w:t xml:space="preserve">Broda and </w:t>
      </w:r>
      <w:proofErr w:type="spellStart"/>
      <w:r w:rsidR="43E85BC1" w:rsidRPr="00013EF9">
        <w:rPr>
          <w:rStyle w:val="sbb9ee52a"/>
          <w:i/>
          <w:iCs/>
        </w:rPr>
        <w:t>Bojara</w:t>
      </w:r>
      <w:proofErr w:type="spellEnd"/>
      <w:r w:rsidR="43E85BC1" w:rsidRPr="00013EF9">
        <w:rPr>
          <w:rStyle w:val="sbb9ee52a"/>
          <w:i/>
          <w:iCs/>
        </w:rPr>
        <w:t xml:space="preserve"> v. Poland</w:t>
      </w:r>
      <w:r w:rsidR="43E85BC1" w:rsidRPr="00DF2B4F">
        <w:t>, HUDOC</w:t>
      </w:r>
      <w:r w:rsidR="43E85BC1">
        <w:t xml:space="preserve">; on the right to a court in the context of loss of office, see also </w:t>
      </w:r>
      <w:r w:rsidR="43E85BC1" w:rsidRPr="005E4EA6">
        <w:t>Judgement o</w:t>
      </w:r>
      <w:r w:rsidR="43E85BC1">
        <w:t xml:space="preserve">f the </w:t>
      </w:r>
      <w:r w:rsidR="43E85BC1" w:rsidRPr="00EC3098">
        <w:t>ECHR</w:t>
      </w:r>
      <w:r w:rsidR="43E85BC1">
        <w:t xml:space="preserve"> of </w:t>
      </w:r>
      <w:r w:rsidR="43E85BC1" w:rsidRPr="007B5933">
        <w:t>15.03.2022 r., 43572/18</w:t>
      </w:r>
      <w:r w:rsidR="43E85BC1" w:rsidRPr="007B5933">
        <w:rPr>
          <w:rStyle w:val="sbb9ee52a"/>
        </w:rPr>
        <w:t xml:space="preserve">, </w:t>
      </w:r>
      <w:proofErr w:type="spellStart"/>
      <w:r w:rsidR="43E85BC1" w:rsidRPr="00013EF9">
        <w:rPr>
          <w:rStyle w:val="sbb9ee52a"/>
          <w:i/>
          <w:iCs/>
        </w:rPr>
        <w:t>Grzęda</w:t>
      </w:r>
      <w:proofErr w:type="spellEnd"/>
      <w:r w:rsidR="43E85BC1" w:rsidRPr="00013EF9">
        <w:rPr>
          <w:rStyle w:val="sbb9ee52a"/>
          <w:i/>
          <w:iCs/>
        </w:rPr>
        <w:t xml:space="preserve"> v. Poland</w:t>
      </w:r>
      <w:r w:rsidR="43E85BC1" w:rsidRPr="007B5933">
        <w:rPr>
          <w:rStyle w:val="sbb9ee52a"/>
        </w:rPr>
        <w:t>, HUDOC.</w:t>
      </w:r>
    </w:p>
  </w:footnote>
  <w:footnote w:id="19">
    <w:p w14:paraId="2E06E5DF" w14:textId="46988F6F" w:rsidR="00DF2B4F" w:rsidRPr="007B5933" w:rsidRDefault="00DF2B4F" w:rsidP="00D838EC">
      <w:pPr>
        <w:pStyle w:val="Tekstprzypisudolnego"/>
        <w:jc w:val="both"/>
      </w:pPr>
      <w:r>
        <w:rPr>
          <w:rStyle w:val="Odwoanieprzypisudolnego"/>
        </w:rPr>
        <w:footnoteRef/>
      </w:r>
      <w:r w:rsidR="43E85BC1" w:rsidRPr="007B5933">
        <w:t xml:space="preserve"> </w:t>
      </w:r>
      <w:r w:rsidR="43E85BC1" w:rsidRPr="005E4EA6">
        <w:t>Judgement o</w:t>
      </w:r>
      <w:r w:rsidR="43E85BC1">
        <w:t xml:space="preserve">f the ECHR of </w:t>
      </w:r>
      <w:r w:rsidR="43E85BC1" w:rsidRPr="007B5933">
        <w:t>16.06.2022 r., 39650/18,</w:t>
      </w:r>
      <w:r w:rsidR="43E85BC1" w:rsidRPr="007B5933">
        <w:rPr>
          <w:rStyle w:val="sbb9ee52a"/>
        </w:rPr>
        <w:t xml:space="preserve"> </w:t>
      </w:r>
      <w:proofErr w:type="spellStart"/>
      <w:r w:rsidR="43E85BC1" w:rsidRPr="00013EF9">
        <w:rPr>
          <w:rStyle w:val="sbb9ee52a"/>
          <w:i/>
          <w:iCs/>
        </w:rPr>
        <w:t>Żurek</w:t>
      </w:r>
      <w:proofErr w:type="spellEnd"/>
      <w:r w:rsidR="43E85BC1" w:rsidRPr="00013EF9">
        <w:rPr>
          <w:rStyle w:val="sbb9ee52a"/>
          <w:i/>
          <w:iCs/>
        </w:rPr>
        <w:t xml:space="preserve"> v. Poland</w:t>
      </w:r>
      <w:r w:rsidR="43E85BC1" w:rsidRPr="007B5933">
        <w:t>, HUDOC;</w:t>
      </w:r>
      <w:r w:rsidR="43E85BC1">
        <w:t xml:space="preserve"> on the case of Judge </w:t>
      </w:r>
      <w:proofErr w:type="spellStart"/>
      <w:r w:rsidR="43E85BC1">
        <w:t>Żurek</w:t>
      </w:r>
      <w:proofErr w:type="spellEnd"/>
      <w:r w:rsidR="43E85BC1">
        <w:t xml:space="preserve"> and other Polish judges, see also Amnesty International report “P</w:t>
      </w:r>
      <w:r w:rsidR="43E85BC1" w:rsidRPr="007B5933">
        <w:t>oland: free courts, free people</w:t>
      </w:r>
      <w:r w:rsidR="43E85BC1">
        <w:t xml:space="preserve">”, </w:t>
      </w:r>
      <w:hyperlink r:id="rId3" w:history="1">
        <w:r w:rsidR="43E85BC1" w:rsidRPr="007B5933">
          <w:rPr>
            <w:rStyle w:val="Hipercze"/>
            <w:color w:val="auto"/>
          </w:rPr>
          <w:t>https://www.amnesty.org/en/documents/eur37/0418/2019/pl/</w:t>
        </w:r>
      </w:hyperlink>
      <w:r w:rsidR="43E85BC1" w:rsidRPr="007B5933">
        <w:rPr>
          <w:rStyle w:val="Hipercze"/>
          <w:color w:val="auto"/>
          <w:u w:val="none"/>
        </w:rPr>
        <w:t xml:space="preserve"> </w:t>
      </w:r>
      <w:r w:rsidR="43E85BC1" w:rsidRPr="007B5933">
        <w:rPr>
          <w:rStyle w:val="Hipercze"/>
          <w:u w:val="none"/>
        </w:rPr>
        <w:t xml:space="preserve"> </w:t>
      </w:r>
      <w:r w:rsidR="43E85BC1" w:rsidRPr="007B5933">
        <w:t>[</w:t>
      </w:r>
      <w:r w:rsidR="43E85BC1">
        <w:t>accessed</w:t>
      </w:r>
      <w:r w:rsidR="43E85BC1" w:rsidRPr="007B5933">
        <w:t>: 31.01.2024).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43E85BC1" w14:paraId="5CEBE9D6" w14:textId="77777777" w:rsidTr="00013EF9">
      <w:trPr>
        <w:trHeight w:val="300"/>
      </w:trPr>
      <w:tc>
        <w:tcPr>
          <w:tcW w:w="3020" w:type="dxa"/>
        </w:tcPr>
        <w:p w14:paraId="6A020D2F" w14:textId="31F9B407" w:rsidR="43E85BC1" w:rsidRDefault="43E85BC1" w:rsidP="00013EF9">
          <w:pPr>
            <w:pStyle w:val="Nagwek"/>
            <w:ind w:left="-115"/>
          </w:pPr>
        </w:p>
      </w:tc>
      <w:tc>
        <w:tcPr>
          <w:tcW w:w="3020" w:type="dxa"/>
        </w:tcPr>
        <w:p w14:paraId="5812348C" w14:textId="2DAB4D4F" w:rsidR="43E85BC1" w:rsidRDefault="43E85BC1" w:rsidP="00013EF9">
          <w:pPr>
            <w:pStyle w:val="Nagwek"/>
            <w:jc w:val="center"/>
          </w:pPr>
        </w:p>
      </w:tc>
      <w:tc>
        <w:tcPr>
          <w:tcW w:w="3020" w:type="dxa"/>
        </w:tcPr>
        <w:p w14:paraId="342AB1F7" w14:textId="1490A6C8" w:rsidR="43E85BC1" w:rsidRDefault="43E85BC1" w:rsidP="00013EF9">
          <w:pPr>
            <w:pStyle w:val="Nagwek"/>
            <w:ind w:right="-115"/>
            <w:jc w:val="right"/>
          </w:pPr>
        </w:p>
      </w:tc>
    </w:tr>
  </w:tbl>
  <w:p w14:paraId="7B00FB51" w14:textId="27BB13C6" w:rsidR="43E85BC1" w:rsidRDefault="43E85BC1" w:rsidP="00013EF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6183E"/>
    <w:multiLevelType w:val="hybridMultilevel"/>
    <w:tmpl w:val="E258E3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27580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798"/>
    <w:rsid w:val="00013EF9"/>
    <w:rsid w:val="00015BF1"/>
    <w:rsid w:val="00050B9F"/>
    <w:rsid w:val="000D0B05"/>
    <w:rsid w:val="000D1868"/>
    <w:rsid w:val="000F3909"/>
    <w:rsid w:val="00107B4C"/>
    <w:rsid w:val="0011784D"/>
    <w:rsid w:val="00180299"/>
    <w:rsid w:val="00195B01"/>
    <w:rsid w:val="00210CC1"/>
    <w:rsid w:val="00213E16"/>
    <w:rsid w:val="002458FA"/>
    <w:rsid w:val="0027038D"/>
    <w:rsid w:val="00295D0A"/>
    <w:rsid w:val="002A4C92"/>
    <w:rsid w:val="002C5DDC"/>
    <w:rsid w:val="0030596F"/>
    <w:rsid w:val="003351C7"/>
    <w:rsid w:val="0037029F"/>
    <w:rsid w:val="00374F31"/>
    <w:rsid w:val="003A48E6"/>
    <w:rsid w:val="00400E5F"/>
    <w:rsid w:val="00443FF0"/>
    <w:rsid w:val="0049414E"/>
    <w:rsid w:val="004B5308"/>
    <w:rsid w:val="0050388A"/>
    <w:rsid w:val="005A1403"/>
    <w:rsid w:val="005C4BE5"/>
    <w:rsid w:val="005D0BD8"/>
    <w:rsid w:val="005D5DAB"/>
    <w:rsid w:val="005E4EA6"/>
    <w:rsid w:val="005E6798"/>
    <w:rsid w:val="005E6E5F"/>
    <w:rsid w:val="006A6E86"/>
    <w:rsid w:val="006C40EC"/>
    <w:rsid w:val="007378DF"/>
    <w:rsid w:val="007453F0"/>
    <w:rsid w:val="007611C9"/>
    <w:rsid w:val="007B5933"/>
    <w:rsid w:val="007B72C4"/>
    <w:rsid w:val="007C222C"/>
    <w:rsid w:val="00830F82"/>
    <w:rsid w:val="00864BC8"/>
    <w:rsid w:val="008A5816"/>
    <w:rsid w:val="00903212"/>
    <w:rsid w:val="0093754F"/>
    <w:rsid w:val="00953C2F"/>
    <w:rsid w:val="009A1FD9"/>
    <w:rsid w:val="009A28B3"/>
    <w:rsid w:val="009C232E"/>
    <w:rsid w:val="00A011AE"/>
    <w:rsid w:val="00A31170"/>
    <w:rsid w:val="00A5520D"/>
    <w:rsid w:val="00A6474B"/>
    <w:rsid w:val="00A97E2C"/>
    <w:rsid w:val="00AC3C36"/>
    <w:rsid w:val="00AD2309"/>
    <w:rsid w:val="00AF148D"/>
    <w:rsid w:val="00AF6BF3"/>
    <w:rsid w:val="00B15AE0"/>
    <w:rsid w:val="00B21CDD"/>
    <w:rsid w:val="00B54CED"/>
    <w:rsid w:val="00B54EAE"/>
    <w:rsid w:val="00B60AE2"/>
    <w:rsid w:val="00B93C9C"/>
    <w:rsid w:val="00BB0477"/>
    <w:rsid w:val="00BE4D59"/>
    <w:rsid w:val="00C502B3"/>
    <w:rsid w:val="00C642BD"/>
    <w:rsid w:val="00C85447"/>
    <w:rsid w:val="00CC375E"/>
    <w:rsid w:val="00D66635"/>
    <w:rsid w:val="00D838EC"/>
    <w:rsid w:val="00DD3E09"/>
    <w:rsid w:val="00DE6C17"/>
    <w:rsid w:val="00DF2B4F"/>
    <w:rsid w:val="00E25818"/>
    <w:rsid w:val="00E33A02"/>
    <w:rsid w:val="00E938A8"/>
    <w:rsid w:val="00EB72FA"/>
    <w:rsid w:val="00EC11B1"/>
    <w:rsid w:val="00EC3098"/>
    <w:rsid w:val="00ED4606"/>
    <w:rsid w:val="00F13F76"/>
    <w:rsid w:val="00F147EF"/>
    <w:rsid w:val="00F824AC"/>
    <w:rsid w:val="00F91729"/>
    <w:rsid w:val="00FD591F"/>
    <w:rsid w:val="00FE301A"/>
    <w:rsid w:val="00FF6A9B"/>
    <w:rsid w:val="052CAB55"/>
    <w:rsid w:val="068A62F7"/>
    <w:rsid w:val="092938E4"/>
    <w:rsid w:val="11DB9981"/>
    <w:rsid w:val="12E8E978"/>
    <w:rsid w:val="140E6F2F"/>
    <w:rsid w:val="14AD23D4"/>
    <w:rsid w:val="1734C9A2"/>
    <w:rsid w:val="17E4C496"/>
    <w:rsid w:val="1BC6A86D"/>
    <w:rsid w:val="1D0DD007"/>
    <w:rsid w:val="21E1412A"/>
    <w:rsid w:val="21F7B35A"/>
    <w:rsid w:val="22B20C2E"/>
    <w:rsid w:val="2491C12D"/>
    <w:rsid w:val="24C3479E"/>
    <w:rsid w:val="2518E1EC"/>
    <w:rsid w:val="262D918E"/>
    <w:rsid w:val="26F6B4DF"/>
    <w:rsid w:val="27095B14"/>
    <w:rsid w:val="2F1C5A7F"/>
    <w:rsid w:val="31309580"/>
    <w:rsid w:val="32233362"/>
    <w:rsid w:val="33EFCBA2"/>
    <w:rsid w:val="358B9C03"/>
    <w:rsid w:val="3A5F0D26"/>
    <w:rsid w:val="3AC8FC32"/>
    <w:rsid w:val="3C257D29"/>
    <w:rsid w:val="3C78E1D0"/>
    <w:rsid w:val="403CBA28"/>
    <w:rsid w:val="40790E6B"/>
    <w:rsid w:val="40B4F9AC"/>
    <w:rsid w:val="40DDB881"/>
    <w:rsid w:val="43E85BC1"/>
    <w:rsid w:val="443646ED"/>
    <w:rsid w:val="4687C623"/>
    <w:rsid w:val="48CEE6D6"/>
    <w:rsid w:val="4A3E74E8"/>
    <w:rsid w:val="4BDA4549"/>
    <w:rsid w:val="4E20F132"/>
    <w:rsid w:val="4E32C381"/>
    <w:rsid w:val="51BF0D0A"/>
    <w:rsid w:val="52DB39F8"/>
    <w:rsid w:val="53834766"/>
    <w:rsid w:val="54A14CE9"/>
    <w:rsid w:val="5D446D0F"/>
    <w:rsid w:val="5DF582A4"/>
    <w:rsid w:val="5E482895"/>
    <w:rsid w:val="61628713"/>
    <w:rsid w:val="63A158B6"/>
    <w:rsid w:val="6A109A3A"/>
    <w:rsid w:val="6A9A2276"/>
    <w:rsid w:val="6AA90B00"/>
    <w:rsid w:val="6BF2C250"/>
    <w:rsid w:val="6C4B8552"/>
    <w:rsid w:val="6C4EDE81"/>
    <w:rsid w:val="6D2F129F"/>
    <w:rsid w:val="6F8E4E72"/>
    <w:rsid w:val="704E554D"/>
    <w:rsid w:val="720283C2"/>
    <w:rsid w:val="75A19121"/>
    <w:rsid w:val="75D1C164"/>
    <w:rsid w:val="778B7F7F"/>
    <w:rsid w:val="7871C546"/>
    <w:rsid w:val="793D1E3E"/>
    <w:rsid w:val="7A38FF92"/>
    <w:rsid w:val="7B636862"/>
    <w:rsid w:val="7F933765"/>
    <w:rsid w:val="7FDA59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2A2C45"/>
  <w15:chartTrackingRefBased/>
  <w15:docId w15:val="{6708B78B-7EB4-4C46-8D99-B3B01D520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B72FA"/>
    <w:pPr>
      <w:ind w:left="720"/>
      <w:contextualSpacing/>
    </w:pPr>
  </w:style>
  <w:style w:type="paragraph" w:styleId="Tekstprzypisudolnego">
    <w:name w:val="footnote text"/>
    <w:basedOn w:val="Normalny"/>
    <w:link w:val="TekstprzypisudolnegoZnak"/>
    <w:uiPriority w:val="99"/>
    <w:semiHidden/>
    <w:unhideWhenUsed/>
    <w:rsid w:val="00AF6BF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F6BF3"/>
    <w:rPr>
      <w:sz w:val="20"/>
      <w:szCs w:val="20"/>
      <w:lang w:val="en-GB"/>
    </w:rPr>
  </w:style>
  <w:style w:type="character" w:styleId="Odwoanieprzypisudolnego">
    <w:name w:val="footnote reference"/>
    <w:basedOn w:val="Domylnaczcionkaakapitu"/>
    <w:uiPriority w:val="99"/>
    <w:semiHidden/>
    <w:unhideWhenUsed/>
    <w:rsid w:val="00AF6BF3"/>
    <w:rPr>
      <w:vertAlign w:val="superscript"/>
    </w:rPr>
  </w:style>
  <w:style w:type="character" w:customStyle="1" w:styleId="normaltextrun">
    <w:name w:val="normaltextrun"/>
    <w:basedOn w:val="Domylnaczcionkaakapitu"/>
    <w:rsid w:val="000D1868"/>
  </w:style>
  <w:style w:type="character" w:customStyle="1" w:styleId="hw">
    <w:name w:val="hw"/>
    <w:basedOn w:val="Domylnaczcionkaakapitu"/>
    <w:rsid w:val="000D1868"/>
  </w:style>
  <w:style w:type="character" w:styleId="Hipercze">
    <w:name w:val="Hyperlink"/>
    <w:basedOn w:val="Domylnaczcionkaakapitu"/>
    <w:uiPriority w:val="99"/>
    <w:unhideWhenUsed/>
    <w:rsid w:val="000D1868"/>
    <w:rPr>
      <w:color w:val="0000FF"/>
      <w:u w:val="single"/>
    </w:rPr>
  </w:style>
  <w:style w:type="character" w:customStyle="1" w:styleId="sbb9ee52a">
    <w:name w:val="sbb9ee52a"/>
    <w:basedOn w:val="Domylnaczcionkaakapitu"/>
    <w:rsid w:val="00EC3098"/>
  </w:style>
  <w:style w:type="character" w:customStyle="1" w:styleId="outputecli">
    <w:name w:val="outputecli"/>
    <w:basedOn w:val="Domylnaczcionkaakapitu"/>
    <w:rsid w:val="00EC3098"/>
  </w:style>
  <w:style w:type="paragraph" w:styleId="Poprawka">
    <w:name w:val="Revision"/>
    <w:hidden/>
    <w:uiPriority w:val="99"/>
    <w:semiHidden/>
    <w:rsid w:val="00F13F76"/>
    <w:pPr>
      <w:spacing w:after="0" w:line="240" w:lineRule="auto"/>
    </w:pPr>
    <w:rPr>
      <w:lang w:val="en-GB"/>
    </w:rPr>
  </w:style>
  <w:style w:type="character" w:styleId="Odwoaniedokomentarza">
    <w:name w:val="annotation reference"/>
    <w:basedOn w:val="Domylnaczcionkaakapitu"/>
    <w:uiPriority w:val="99"/>
    <w:semiHidden/>
    <w:unhideWhenUsed/>
    <w:rsid w:val="00F13F76"/>
    <w:rPr>
      <w:sz w:val="16"/>
      <w:szCs w:val="16"/>
    </w:rPr>
  </w:style>
  <w:style w:type="paragraph" w:styleId="Tekstkomentarza">
    <w:name w:val="annotation text"/>
    <w:basedOn w:val="Normalny"/>
    <w:link w:val="TekstkomentarzaZnak"/>
    <w:uiPriority w:val="99"/>
    <w:semiHidden/>
    <w:unhideWhenUsed/>
    <w:rsid w:val="00F13F7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13F76"/>
    <w:rPr>
      <w:sz w:val="20"/>
      <w:szCs w:val="20"/>
      <w:lang w:val="en-GB"/>
    </w:rPr>
  </w:style>
  <w:style w:type="paragraph" w:styleId="Tematkomentarza">
    <w:name w:val="annotation subject"/>
    <w:basedOn w:val="Tekstkomentarza"/>
    <w:next w:val="Tekstkomentarza"/>
    <w:link w:val="TematkomentarzaZnak"/>
    <w:uiPriority w:val="99"/>
    <w:semiHidden/>
    <w:unhideWhenUsed/>
    <w:rsid w:val="00F13F76"/>
    <w:rPr>
      <w:b/>
      <w:bCs/>
    </w:rPr>
  </w:style>
  <w:style w:type="character" w:customStyle="1" w:styleId="TematkomentarzaZnak">
    <w:name w:val="Temat komentarza Znak"/>
    <w:basedOn w:val="TekstkomentarzaZnak"/>
    <w:link w:val="Tematkomentarza"/>
    <w:uiPriority w:val="99"/>
    <w:semiHidden/>
    <w:rsid w:val="00F13F76"/>
    <w:rPr>
      <w:b/>
      <w:bCs/>
      <w:sz w:val="20"/>
      <w:szCs w:val="20"/>
      <w:lang w:val="en-GB"/>
    </w:rPr>
  </w:style>
  <w:style w:type="character" w:styleId="Nierozpoznanawzmianka">
    <w:name w:val="Unresolved Mention"/>
    <w:basedOn w:val="Domylnaczcionkaakapitu"/>
    <w:uiPriority w:val="99"/>
    <w:semiHidden/>
    <w:unhideWhenUsed/>
    <w:rsid w:val="007378DF"/>
    <w:rPr>
      <w:color w:val="605E5C"/>
      <w:shd w:val="clear" w:color="auto" w:fill="E1DFDD"/>
    </w:rPr>
  </w:style>
  <w:style w:type="table" w:styleId="Tabela-Siatka">
    <w:name w:val="Table Grid"/>
    <w:basedOn w:val="Standardowy"/>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Znak">
    <w:name w:val="Nagłówek Znak"/>
    <w:basedOn w:val="Domylnaczcionkaakapitu"/>
    <w:link w:val="Nagwek"/>
    <w:uiPriority w:val="99"/>
  </w:style>
  <w:style w:type="paragraph" w:styleId="Nagwek">
    <w:name w:val="header"/>
    <w:basedOn w:val="Normalny"/>
    <w:link w:val="NagwekZnak"/>
    <w:uiPriority w:val="99"/>
    <w:unhideWhenUsed/>
    <w:pPr>
      <w:tabs>
        <w:tab w:val="center" w:pos="4680"/>
        <w:tab w:val="right" w:pos="9360"/>
      </w:tabs>
      <w:spacing w:after="0" w:line="240" w:lineRule="auto"/>
    </w:pPr>
  </w:style>
  <w:style w:type="character" w:customStyle="1" w:styleId="StopkaZnak">
    <w:name w:val="Stopka Znak"/>
    <w:basedOn w:val="Domylnaczcionkaakapitu"/>
    <w:link w:val="Stopka"/>
    <w:uiPriority w:val="99"/>
  </w:style>
  <w:style w:type="paragraph" w:styleId="Stopka">
    <w:name w:val="footer"/>
    <w:basedOn w:val="Normalny"/>
    <w:link w:val="StopkaZnak"/>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804208">
      <w:bodyDiv w:val="1"/>
      <w:marLeft w:val="0"/>
      <w:marRight w:val="0"/>
      <w:marTop w:val="0"/>
      <w:marBottom w:val="0"/>
      <w:divBdr>
        <w:top w:val="none" w:sz="0" w:space="0" w:color="auto"/>
        <w:left w:val="none" w:sz="0" w:space="0" w:color="auto"/>
        <w:bottom w:val="none" w:sz="0" w:space="0" w:color="auto"/>
        <w:right w:val="none" w:sz="0" w:space="0" w:color="auto"/>
      </w:divBdr>
    </w:div>
    <w:div w:id="658268228">
      <w:bodyDiv w:val="1"/>
      <w:marLeft w:val="0"/>
      <w:marRight w:val="0"/>
      <w:marTop w:val="0"/>
      <w:marBottom w:val="0"/>
      <w:divBdr>
        <w:top w:val="none" w:sz="0" w:space="0" w:color="auto"/>
        <w:left w:val="none" w:sz="0" w:space="0" w:color="auto"/>
        <w:bottom w:val="none" w:sz="0" w:space="0" w:color="auto"/>
        <w:right w:val="none" w:sz="0" w:space="0" w:color="auto"/>
      </w:divBdr>
    </w:div>
    <w:div w:id="995450599">
      <w:bodyDiv w:val="1"/>
      <w:marLeft w:val="0"/>
      <w:marRight w:val="0"/>
      <w:marTop w:val="0"/>
      <w:marBottom w:val="0"/>
      <w:divBdr>
        <w:top w:val="none" w:sz="0" w:space="0" w:color="auto"/>
        <w:left w:val="none" w:sz="0" w:space="0" w:color="auto"/>
        <w:bottom w:val="none" w:sz="0" w:space="0" w:color="auto"/>
        <w:right w:val="none" w:sz="0" w:space="0" w:color="auto"/>
      </w:divBdr>
    </w:div>
    <w:div w:id="1469783125">
      <w:bodyDiv w:val="1"/>
      <w:marLeft w:val="0"/>
      <w:marRight w:val="0"/>
      <w:marTop w:val="0"/>
      <w:marBottom w:val="0"/>
      <w:divBdr>
        <w:top w:val="none" w:sz="0" w:space="0" w:color="auto"/>
        <w:left w:val="none" w:sz="0" w:space="0" w:color="auto"/>
        <w:bottom w:val="none" w:sz="0" w:space="0" w:color="auto"/>
        <w:right w:val="none" w:sz="0" w:space="0" w:color="auto"/>
      </w:divBdr>
    </w:div>
    <w:div w:id="187041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ki.pl/slownik-angielskiego?q=Central+Anti-Corruption+Bure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iki.pl/slownik-angielskiego?q=Central+Anti-Corruption+Bure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amnesty.org/en/documents/eur37/0418/2019/pl/" TargetMode="External"/><Relationship Id="rId2" Type="http://schemas.openxmlformats.org/officeDocument/2006/relationships/hyperlink" Target="https://justice-uapl.project.uj.edu.pl/wydarzenia" TargetMode="External"/><Relationship Id="rId1" Type="http://schemas.openxmlformats.org/officeDocument/2006/relationships/hyperlink" Target="https://sip-1legalis-1pl-147d9pe5v0a7c.hps.bj.uj.edu.pl/document-view.seam?documentId=mjxw62zogizdkmjsha2tsmroobqxalrsgu4tamy&amp;refSource=to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9425E-025E-4005-9E41-E7456234F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1085</Words>
  <Characters>6510</Characters>
  <Application>Microsoft Office Word</Application>
  <DocSecurity>0</DocSecurity>
  <Lines>54</Lines>
  <Paragraphs>15</Paragraphs>
  <ScaleCrop>false</ScaleCrop>
  <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Zuzanna Topyłło</dc:creator>
  <cp:keywords/>
  <dc:description/>
  <cp:lastModifiedBy>Monika Florczak-Wątor</cp:lastModifiedBy>
  <cp:revision>4</cp:revision>
  <dcterms:created xsi:type="dcterms:W3CDTF">2024-03-19T21:58:00Z</dcterms:created>
  <dcterms:modified xsi:type="dcterms:W3CDTF">2024-03-19T21:58:00Z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3d42643413b4ea040f68a24411686f4238f2de86ff5617807253f8f56e1fe062</vt:lpwstr>
  </property>
</Properties>
</file>