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8CB5" w14:textId="6C50C5EA" w:rsidR="00541E3A" w:rsidRPr="00541E3A" w:rsidRDefault="00541E3A" w:rsidP="00541E3A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Поліна Смірнова</w:t>
      </w:r>
    </w:p>
    <w:p w14:paraId="3EF22152" w14:textId="77777777" w:rsidR="00541E3A" w:rsidRDefault="00541E3A" w:rsidP="007F0D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03B005" w14:textId="4AB5E3D4" w:rsidR="008E11CD" w:rsidRPr="007F0D0D" w:rsidRDefault="008E11CD" w:rsidP="007F0D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ДОСТУП ДО НЕЗАЛЕЖНОГО ТА НЕУПЕРЕДЖЕНОГО СУДУ В УКРАЇНІ</w:t>
      </w:r>
    </w:p>
    <w:p w14:paraId="2C8489CF" w14:textId="71C58B48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Незалежні та неупереджені суди є фундаментальними елементами у правовій системі кожної держави, вони забезпечують належне функціонування принципу верховенства права, зокрема, системи стримувань і противаг. Вони дають можливість судовій владі як одній з трьох гілок влади діяти без зовнішнього впливу, що забезпечує право на 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справедливий і публічний розгляд справи упродовж розумного строку незалежним і безстороннім судом,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яке є одним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з основоположних прав людини і закріплене в статті 6 (1) Європейської конвенції з прав людини (ЄКПЛ) [1]. </w:t>
      </w:r>
    </w:p>
    <w:p w14:paraId="73A79A72" w14:textId="42D3C039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ключовими елементами справедливого судового розгляду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є: доступ до суду, публічність судового процесу, 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розумні строки розгляду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рівність учасників, належна процедура розгляду справи. При цьому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наголосити на тому, що саме принципи незалежності та неупередженості є найважливішими в цьому відношенні, оскільки, як показує практика, будь-який суд не може функціонувати належним чином і забезпечити справедливий результат розгляду справи, а також справедлив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у процедуру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розгляду, якщо на нього впливають будь-які зацікавлені особи, які не мають прямого та/або видимого зв</w:t>
      </w:r>
      <w:r w:rsidR="00541E3A" w:rsidRPr="00541E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F0D0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зі справою, навіть якщо розгляд справи здійснюється в розумні строки і судовий розгляд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публічно [2]. </w:t>
      </w:r>
    </w:p>
    <w:p w14:paraId="6BB043FB" w14:textId="144B9C16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Незалежність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означає, що судова влада є вільною від зовнішнього тиску і не підлягає політичному впливу, зокрема з боку виконавчої влади. Ця вимога є невід</w:t>
      </w:r>
      <w:r w:rsidR="00541E3A" w:rsidRPr="00541E3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ємною частиною фундаментального 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>для країни з демократичним устроєм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принципу поділу влади. Судді не повинні бути об</w:t>
      </w:r>
      <w:r w:rsidR="00541E3A" w:rsidRPr="00541E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єктом політичного впливу або маніпуляцій. Європейський суд з прав людини виділяє </w:t>
      </w: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чотири елементи </w:t>
      </w: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незалежності суддів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: спосіб призначення, строк повноважень, наявність гарантій від зовнішнього тиску, в тому числі в бюджетних питаннях, а також те, чи виглядає судова влада незалежною та неупередженою (рішення ЄСПЛ у справі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Кемпбелл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Фелл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проти Сполученого Королівства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Campbell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Fell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v. the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United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Kingdom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>) від 28 червня 2014 року, 7819/77 і 7878/77, § 78) [3, с. 35].</w:t>
      </w:r>
    </w:p>
    <w:p w14:paraId="642CF44F" w14:textId="3B5BB624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Неупереджений суд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означає, що судова гілка влади не є упередженою щодо результату справи [4, с. 12]. Неупередженість судової влади має бути забезпечена як на практиці, так і в 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>законодавстві держави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. Класична формула, виражена, наприклад, у практиці ЄСПЛ, полягає в тому, що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правосуддя повинно не тільки здійснюватися, але й повинно бути видно, що воно здійснюється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(рішення ЄСПЛ 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Де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Кубер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проти Бельгії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De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Cubber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v.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Belgium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>), 9186/80, 26 жовтня 1984 року, § 26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Мікаллеф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проти Мальти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Micallef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v.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Malta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), 17056/06, 15 жовтня 2009 року, § 98; 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Олександр Волков проти України</w:t>
      </w:r>
      <w:r w:rsidR="00541E3A"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Oleksandr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Volkov</w:t>
      </w:r>
      <w:proofErr w:type="spellEnd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v. </w:t>
      </w:r>
      <w:proofErr w:type="spellStart"/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Ukraine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>), 21722/11, 9 січня 2013 року, § 106). Це передбачає як об</w:t>
      </w:r>
      <w:r w:rsidR="00541E3A">
        <w:rPr>
          <w:rFonts w:ascii="Times New Roman" w:hAnsi="Times New Roman" w:cs="Times New Roman"/>
          <w:sz w:val="28"/>
          <w:szCs w:val="28"/>
          <w:lang w:val="en-GB"/>
        </w:rPr>
        <w:t>’</w:t>
      </w:r>
      <w:proofErr w:type="spellStart"/>
      <w:r w:rsidRPr="007F0D0D">
        <w:rPr>
          <w:rFonts w:ascii="Times New Roman" w:hAnsi="Times New Roman" w:cs="Times New Roman"/>
          <w:sz w:val="28"/>
          <w:szCs w:val="28"/>
          <w:lang w:val="uk-UA"/>
        </w:rPr>
        <w:t>єктивну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Pr="007F0D0D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541E3A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єктивну</w:t>
      </w:r>
      <w:proofErr w:type="spellEnd"/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неупередженість. Сприйняття громадськістю може допомогти в оцінці того, чи є судова влада неупередженою на практиці [3, с. 38].</w:t>
      </w:r>
    </w:p>
    <w:p w14:paraId="1E5F554E" w14:textId="0E813A81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призначення та просування суддів по службі не повинно ґрунтуватися на політичних або особистих міркуваннях, і система повинна постійно контролюватися для забезпечення цього [4, с. 35]. Іншим важливим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аспектом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є те, що обмежений або поновлюваний строк повноважень може поставити суддів у залежність від органу, який їх призначив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або має право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повторно призначати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[4, с. 35]. Достатні ресурси також мають важливе значення для забезпечення незалежності суддів від державних установ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приватних осіб, щоб судова влада могла виконувати свої обов</w:t>
      </w:r>
      <w:r w:rsidR="00541E3A" w:rsidRPr="00541E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язки доброчесно та ефективно (наприклад, скорочення виконавчою владою бюджету судової влади як приклад того, як на ресурси судової влади може чинитися неправомірний тиск) [4, с. 36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41E3A" w:rsidRPr="00541E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Справедлива і достатня оплата праці є конкретним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елементом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автономії судової влади, засобом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запобігання корупції, яка може поставити під загрозу незалежність судової влади не тільки від інших гілок влади, а й від окремих осіб [4, с. 37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ожливість оскарження судових рішень до суду вищої інстанції є загальним елементом судових систем і має бути єдиним способом перегляду судових рішень при застосуванні закону; судові рішення не повинні бути предметом нагляду з боку колег-суддів і </w:t>
      </w:r>
      <w:r w:rsidRPr="00541E3A">
        <w:rPr>
          <w:rFonts w:ascii="Times New Roman" w:hAnsi="Times New Roman" w:cs="Times New Roman"/>
          <w:i/>
          <w:iCs/>
          <w:sz w:val="28"/>
          <w:szCs w:val="28"/>
          <w:lang w:val="uk-UA"/>
        </w:rPr>
        <w:t>a fortiori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виконавчої ієрархічної влади, здійснюваної, наприклад, державними службовцями,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такий нагляд суперечив би індивідуальній незалежності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[4, с. 38].</w:t>
      </w:r>
    </w:p>
    <w:p w14:paraId="7C13C4FE" w14:textId="1CBF2CC8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Коли йдеться про реалізацію принципів незалежності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неупередженості суду в Україні, важливо зазначити, що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 2014 та 2020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2021 роках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CE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були проведені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антикорупційна </w:t>
      </w:r>
      <w:r w:rsidR="00541E3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судова реформи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вирішення проблем в українській судовій системі, пов</w:t>
      </w:r>
      <w:r w:rsidR="00EA7CED" w:rsidRPr="00EA7C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язаних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>недотриманням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принципу верховенства права, головним чином, щодо проблем з незалежністю суддів, пов</w:t>
      </w:r>
      <w:r w:rsidR="00EA7CED" w:rsidRPr="00EA7C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язаних з олігархічними інтересами та їхнім потужним впливом</w:t>
      </w:r>
      <w:r w:rsidR="007B1CD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українському суспільстві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5D3D79" w14:textId="4262B87B" w:rsidR="008E11CD" w:rsidRPr="007F0D0D" w:rsidRDefault="007B1CD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>Перш за все, важливо зазначити деякі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прогалин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 xml:space="preserve">ому законодавстві 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відомої справи ЄСПЛ проти України, а саме </w:t>
      </w:r>
      <w:r w:rsidR="008E11CD" w:rsidRPr="007F0D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"Олександр Волков проти України"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[2], </w:t>
      </w:r>
      <w:r w:rsidR="007F0D0D">
        <w:rPr>
          <w:rFonts w:ascii="Times New Roman" w:hAnsi="Times New Roman" w:cs="Times New Roman"/>
          <w:sz w:val="28"/>
          <w:szCs w:val="28"/>
          <w:lang w:val="uk-UA"/>
        </w:rPr>
        <w:t>в якому йдеться про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7F0D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Волков</w:t>
      </w:r>
      <w:r w:rsidR="007F0D0D">
        <w:rPr>
          <w:rFonts w:ascii="Times New Roman" w:hAnsi="Times New Roman" w:cs="Times New Roman"/>
          <w:sz w:val="28"/>
          <w:szCs w:val="28"/>
          <w:lang w:val="uk-UA"/>
        </w:rPr>
        <w:t>а, який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працював суддею місцевого суду з 1983 року (коли законодавство не вимагало складання присяги суддею), а потім у 2001 році був призначений суддею Верховного Суду України, з посади якого він був незаконно звільнений Парламентом України за нібито порушення присяги у 2010 році. Однак в українському законодавстві не було чіткого і точного визначення самого поняття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>порушення суддею присяги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F60C23" w14:textId="09C96BEC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>Таким чином, підставою для його звільнення стало порушення присяги, а</w:t>
      </w:r>
      <w:r w:rsidR="00C967F7" w:rsidRPr="007F0D0D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процедура цього звільнення пізніше була визнана ЄСПЛ не незалежною і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вкрай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політизованою. Ця справа безпосередньо спричинила вищезгадану реформу, вказавши на серйозні та системні проблеми в українській судовій системі, які на даний момент </w:t>
      </w:r>
      <w:r w:rsidR="00C967F7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є лише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частково вирішен</w:t>
      </w:r>
      <w:r w:rsidR="00C967F7" w:rsidRPr="007F0D0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. Серед </w:t>
      </w:r>
      <w:r w:rsidR="00C967F7" w:rsidRPr="007F0D0D">
        <w:rPr>
          <w:rFonts w:ascii="Times New Roman" w:hAnsi="Times New Roman" w:cs="Times New Roman"/>
          <w:sz w:val="28"/>
          <w:szCs w:val="28"/>
          <w:lang w:val="uk-UA"/>
        </w:rPr>
        <w:t>таких проблем можна виокремити наступні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: неможливість забезпечити належне функціонування системи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стримувань і противаг, що призводить до політичної та іншої залежності судів і суддів; політизація механізму формування суддівського корпусу, що зумовлює значний політичний вплив на нього; абсолютна беззахисність суддів перед необґрунтованим дисциплінарним переслідуванням, у даному випадку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перед звинуваченнями у порушенні присяги, що разом з іншими обставинами, про які йшлося вище, створює середовище повної залежності суддів, не може гарантувати їхню неупередженість, а отже, не може забезпечити належне функціонування принципу верховенства права.</w:t>
      </w:r>
    </w:p>
    <w:p w14:paraId="1C8D83AA" w14:textId="77777777" w:rsidR="00EA7CED" w:rsidRDefault="00C82E02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>Як наслідо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у 2016 році були внесені необхідні зміни до Конституції України. Відповідно до цих змін [5],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новостворений орган під назвою </w:t>
      </w:r>
      <w:r w:rsidR="008E11CD" w:rsidRPr="007F0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Вища рада правосуддя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>, ста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за призначення та звільнення суддів, що стало вирішальною зміною в контексті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належного рівня  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суддів, враховуючи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що до внесення цих змін за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відповідала Верховна Рада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що спричиняло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ризиків для належного функціонування системи стримувань і противаг. </w:t>
      </w:r>
    </w:p>
    <w:p w14:paraId="3D2B52C6" w14:textId="685FE481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Також у контексті реформ, які безпосередньо впливають на рівень незалежності суддів в Україні, важливо згадати прийнятий у 2021 році </w:t>
      </w:r>
      <w:r w:rsidR="00C82E02" w:rsidRPr="007F0D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акон, який відновив роботу </w:t>
      </w:r>
      <w:r w:rsidRPr="00EA7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Вищої кваліфікаційної комісії суддів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що є інституцією, відповідальною за формування суддівського корпусу, переведення суддів та забезпечення їх належного кваліфікаційного рівня [6]. Крім того, відповідно до Закону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України «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3C01" w:rsidRPr="007F0D0D">
        <w:rPr>
          <w:rFonts w:ascii="Times New Roman" w:hAnsi="Times New Roman" w:cs="Times New Roman"/>
          <w:sz w:val="28"/>
          <w:szCs w:val="28"/>
          <w:lang w:val="uk-UA"/>
        </w:rPr>
        <w:t>судоустрій і статус суддів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який також був доповнений у 2021 році, було створено ще одну нову 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інституцію</w:t>
      </w:r>
      <w:r w:rsidR="00EA7C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F0D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Громадську раду доброчесності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яка, відповідно до Закону, </w:t>
      </w:r>
      <w:r w:rsidR="00EA7C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2515B" w:rsidRPr="007F0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утворюється з метою сприяння Вищій кваліфікаційній комісії суддів України у встановленні відповідності судді (кандидата на посаду судді) критеріям професійної етики та доброчесності для цілей кваліфікаційного оцінювання</w:t>
      </w:r>
      <w:r w:rsidR="00EA7C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[7</w:t>
      </w:r>
      <w:r w:rsidR="00E53C01"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ст. 87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60B945FE" w14:textId="2F0BD376" w:rsidR="008E11CD" w:rsidRPr="007F0D0D" w:rsidRDefault="00EA7CE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Більше того,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 2016 році в рамках реформи судової системи було створено новий Верховний Суд, куди суддів добирали за новою конкурсною процедурою, відповідно до Положення про проведення конкурсу на зайняття вакантної посади судді [8], затвердженого Вищою кваліфікаційною комісією суддів України. Як зазначено в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оложенні,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>конкурс на зайняття вакантних посад суддів Верховного Суду проводиться на основі рейтингу учасників за результатами кваліфікаційного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5694465" w14:textId="51971F58" w:rsidR="008E11CD" w:rsidRPr="007F0D0D" w:rsidRDefault="00C82E02" w:rsidP="00EA7C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>, після набуття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Україною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статусу кандидата на вступ до ЄС, першим кроком є виконання низки вимог Європейської Комісії, що зумовило подальше реформування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судової системи. </w:t>
      </w:r>
      <w:r w:rsidR="00EA7CED">
        <w:rPr>
          <w:rFonts w:ascii="Times New Roman" w:hAnsi="Times New Roman" w:cs="Times New Roman"/>
          <w:sz w:val="28"/>
          <w:szCs w:val="28"/>
          <w:lang w:val="uk-UA"/>
        </w:rPr>
        <w:t>Так, в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ажливо висвітлити реформу Конституційного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>уду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у рамках якої</w:t>
      </w:r>
      <w:r w:rsidR="008E11CD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20 серпня 2023 року було прийнято новий Закон [9], який головним чином зосередився на зміні процедури конкурсного відбору кандидатів на посаду судді Конституційного Суду України (КСУ).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2E6523" w14:textId="03EC2CE0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Серед ключових змін, запроваджених новим 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аконом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2E02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важливо зазначити наступні: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C82E02" w:rsidRPr="007F0D0D">
        <w:rPr>
          <w:rFonts w:ascii="Times New Roman" w:hAnsi="Times New Roman" w:cs="Times New Roman"/>
          <w:sz w:val="28"/>
          <w:szCs w:val="28"/>
          <w:lang w:val="uk-UA"/>
        </w:rPr>
        <w:t>Дорадчої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групи експертів (</w:t>
      </w:r>
      <w:r w:rsidR="00C82E02" w:rsidRPr="007F0D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ГЕ) з українських та міжнародних експертів, яка відповідає за оцінку професійної компетентності 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якостей кандидатів на посаду судді КСУ 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вирішального голосу; кандидати на посаду судді КСУ тепер можуть проходити перевірку під час воєнного стану 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8F27AC"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],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що було позитивно оцінено Венеціанською комісією у 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исновку від 16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17 грудня 2022 року [1</w:t>
      </w:r>
      <w:r w:rsidR="007F0D0D" w:rsidRPr="007F0D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] та у </w:t>
      </w:r>
      <w:r w:rsidR="008F27AC" w:rsidRPr="007F0D0D">
        <w:rPr>
          <w:rFonts w:ascii="Times New Roman" w:hAnsi="Times New Roman" w:cs="Times New Roman"/>
          <w:sz w:val="28"/>
          <w:szCs w:val="28"/>
          <w:lang w:val="uk-UA"/>
        </w:rPr>
        <w:t>Додатковому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исновку від 9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10 червня 2023 року [1</w:t>
      </w:r>
      <w:r w:rsidR="007F0D0D" w:rsidRPr="007F0D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623E66B5" w14:textId="0FFA10E4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>Отже, ЄС оприлюднив свою думку щодо останніх змін у контексті виконання 7 груп вимог, особливо щодо реформи КСУ та реформи судової системи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зазначивши, що </w:t>
      </w:r>
      <w:r w:rsidR="00382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ЄС вітає нещодавні значні зусилля України у зміцненні верховенства права, незважаючи на триваючу військову агресію з боку Росії</w:t>
      </w:r>
      <w:r w:rsidR="00382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7F0D0D" w:rsidRPr="007F0D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]. Також Венеціанська комісія у висновку від 9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10 червня 2023 року зазначила, що </w:t>
      </w:r>
      <w:r w:rsidR="00382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незважаючи на агресивну війну Російської Федерації проти України, українська 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влада, а також громадянське суспільство продемонстрували зразкову готовність рухатися вперед у проведенні реформ і виконувати рекомендації Венеціанської комісії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7F0D0D" w:rsidRPr="007F0D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]. Це свідчить про те, що хоча реформа все ще триває і на шляху до створення незалежних т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неупереджених судів в Україні є чимало перешкод, 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>було досягнуто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значного прогресу, що визнається міжнародною спільнотою. </w:t>
      </w:r>
    </w:p>
    <w:p w14:paraId="208DD86F" w14:textId="4481D014" w:rsidR="008E11CD" w:rsidRPr="007F0D0D" w:rsidRDefault="008E11CD" w:rsidP="007F0D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в процесі реалізації реформ є і критичні зауваження. 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у звіті Європейської комісії 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2023 року згадуються такі рекомендації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382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...перезапустити добір звичайних суддів на основі вдосконаленої правової бази, включаючи чіткі критерії доброчесності та професіоналізму і сильну роль Громадської ради доброчесності; відновити оцінювання кваліфікації суддів (люстрацію), яке було призупинено у 2019 році</w:t>
      </w:r>
      <w:r w:rsidR="00382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F0D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7F0D0D" w:rsidRPr="007F0D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]. Все 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>вищезазначене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</w:t>
      </w:r>
      <w:r w:rsidR="002C78B2"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, що хоча процес впровадження нововведень триває, незважаючи на російську агресію, деякі з реформ виконуються неякісно (наприклад, реформа В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 xml:space="preserve">ерховного 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уду України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 xml:space="preserve">, де було створено новий суд, який мав здійснити якісне кадрове оновлення на конкурсній основі, але в результаті неналежного проведення цієї реформи старий суд було незаконно позбавлено повноважень, що призвело до ситуації, коли 9 суддів </w:t>
      </w:r>
      <w:r w:rsidR="003825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0D0D">
        <w:rPr>
          <w:rFonts w:ascii="Times New Roman" w:hAnsi="Times New Roman" w:cs="Times New Roman"/>
          <w:sz w:val="28"/>
          <w:szCs w:val="28"/>
          <w:lang w:val="uk-UA"/>
        </w:rPr>
        <w:t>з ВСУ були просто зараховані до ВС без процедури чесного конкурсу), що, на жаль, призводить до значного затягування процесу створення незалежних і неупереджених судів.</w:t>
      </w:r>
    </w:p>
    <w:p w14:paraId="7AD41F31" w14:textId="75EA97AB" w:rsidR="008E11CD" w:rsidRPr="007F0D0D" w:rsidRDefault="008E11CD" w:rsidP="007F0D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F0D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Список використаної літератури:</w:t>
      </w:r>
    </w:p>
    <w:p w14:paraId="185E3071" w14:textId="692E9832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Європейська конвенція з прав людини</w:t>
      </w:r>
      <w:r w:rsidR="003825E8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1950. </w:t>
      </w:r>
      <w:r w:rsidR="003825E8" w:rsidRPr="001160E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="003825E8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4" w:history="1">
        <w:r w:rsidR="003825E8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https://www.echr.coe.int/documents/d/echr/convention_ENG</w:t>
        </w:r>
      </w:hyperlink>
      <w:r w:rsidR="00CD127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25E8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3825E8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3825E8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14.02.2024).</w:t>
      </w:r>
    </w:p>
    <w:p w14:paraId="7075179E" w14:textId="79CC8BB6" w:rsidR="008E11CD" w:rsidRPr="001160E6" w:rsidRDefault="008E11CD" w:rsidP="003825E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0E6">
        <w:rPr>
          <w:color w:val="000000" w:themeColor="text1"/>
          <w:sz w:val="28"/>
          <w:szCs w:val="28"/>
          <w:lang w:val="uk-UA"/>
        </w:rPr>
        <w:t>2.</w:t>
      </w:r>
      <w:r w:rsidRPr="001160E6">
        <w:rPr>
          <w:color w:val="FF0000"/>
          <w:sz w:val="28"/>
          <w:szCs w:val="28"/>
          <w:lang w:val="uk-UA"/>
        </w:rPr>
        <w:tab/>
      </w:r>
      <w:r w:rsidR="003825E8" w:rsidRPr="001160E6">
        <w:rPr>
          <w:sz w:val="28"/>
          <w:szCs w:val="28"/>
          <w:lang w:val="uk-UA"/>
        </w:rPr>
        <w:t>Венеційська комісія.</w:t>
      </w:r>
      <w:r w:rsidR="00CD127D" w:rsidRPr="001160E6">
        <w:rPr>
          <w:sz w:val="28"/>
          <w:szCs w:val="28"/>
        </w:rPr>
        <w:t xml:space="preserve"> </w:t>
      </w:r>
      <w:r w:rsidR="003825E8" w:rsidRPr="001160E6">
        <w:rPr>
          <w:sz w:val="28"/>
          <w:szCs w:val="28"/>
          <w:lang w:val="uk-UA"/>
        </w:rPr>
        <w:t xml:space="preserve">Доповідь «Про </w:t>
      </w:r>
      <w:r w:rsidR="00AA1263" w:rsidRPr="001160E6">
        <w:rPr>
          <w:sz w:val="28"/>
          <w:szCs w:val="28"/>
          <w:lang w:val="uk-UA"/>
        </w:rPr>
        <w:t>верховенство права</w:t>
      </w:r>
      <w:r w:rsidR="003825E8" w:rsidRPr="001160E6">
        <w:rPr>
          <w:sz w:val="28"/>
          <w:szCs w:val="28"/>
          <w:lang w:val="uk-UA"/>
        </w:rPr>
        <w:t xml:space="preserve">». </w:t>
      </w:r>
      <w:r w:rsidR="00AA1263" w:rsidRPr="001160E6">
        <w:rPr>
          <w:sz w:val="28"/>
          <w:szCs w:val="28"/>
          <w:lang w:val="uk-UA"/>
        </w:rPr>
        <w:t xml:space="preserve">2011.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 xml:space="preserve">: </w:t>
      </w:r>
      <w:hyperlink r:id="rId5" w:history="1">
        <w:r w:rsidR="00AA1263" w:rsidRPr="001160E6">
          <w:rPr>
            <w:rStyle w:val="ac"/>
            <w:rFonts w:eastAsiaTheme="majorEastAsia"/>
            <w:sz w:val="28"/>
            <w:szCs w:val="28"/>
          </w:rPr>
          <w:t>https://www.venice.coe.int/webforms/documents/?pdf=CDL-AD(2011)003</w:t>
        </w:r>
        <w:r w:rsidR="00AA1263" w:rsidRPr="001160E6">
          <w:rPr>
            <w:rStyle w:val="ac"/>
            <w:rFonts w:eastAsiaTheme="majorEastAsia"/>
            <w:sz w:val="28"/>
            <w:szCs w:val="28"/>
          </w:rPr>
          <w:t>r</w:t>
        </w:r>
        <w:r w:rsidR="00AA1263" w:rsidRPr="001160E6">
          <w:rPr>
            <w:rStyle w:val="ac"/>
            <w:rFonts w:eastAsiaTheme="majorEastAsia"/>
            <w:sz w:val="28"/>
            <w:szCs w:val="28"/>
          </w:rPr>
          <w:t>ev-e</w:t>
        </w:r>
      </w:hyperlink>
      <w:r w:rsidR="00CD127D" w:rsidRPr="001160E6">
        <w:rPr>
          <w:rStyle w:val="url"/>
          <w:rFonts w:eastAsiaTheme="majorEastAsia"/>
          <w:sz w:val="28"/>
          <w:szCs w:val="28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14.02.2024).</w:t>
      </w:r>
    </w:p>
    <w:p w14:paraId="427B5462" w14:textId="018D31B3" w:rsidR="00CD127D" w:rsidRPr="001160E6" w:rsidRDefault="008E11CD" w:rsidP="00AA126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0E6">
        <w:rPr>
          <w:color w:val="000000" w:themeColor="text1"/>
          <w:sz w:val="28"/>
          <w:szCs w:val="28"/>
          <w:lang w:val="uk-UA"/>
        </w:rPr>
        <w:lastRenderedPageBreak/>
        <w:t>3.</w:t>
      </w:r>
      <w:r w:rsidR="00CD127D" w:rsidRPr="001160E6">
        <w:rPr>
          <w:color w:val="000000" w:themeColor="text1"/>
          <w:sz w:val="28"/>
          <w:szCs w:val="28"/>
        </w:rPr>
        <w:t xml:space="preserve"> </w:t>
      </w:r>
      <w:r w:rsidR="00AA1263" w:rsidRPr="001160E6">
        <w:rPr>
          <w:color w:val="000000" w:themeColor="text1"/>
          <w:sz w:val="28"/>
          <w:szCs w:val="28"/>
          <w:lang w:val="uk-UA"/>
        </w:rPr>
        <w:t xml:space="preserve">Рішення </w:t>
      </w:r>
      <w:r w:rsidR="00CD127D" w:rsidRPr="001160E6">
        <w:rPr>
          <w:sz w:val="28"/>
          <w:szCs w:val="28"/>
          <w:lang w:val="uk-UA"/>
        </w:rPr>
        <w:t xml:space="preserve">ЄСПЛ </w:t>
      </w:r>
      <w:r w:rsidR="00AA1263" w:rsidRPr="001160E6">
        <w:rPr>
          <w:i/>
          <w:iCs/>
          <w:sz w:val="28"/>
          <w:szCs w:val="28"/>
          <w:lang w:val="uk-UA"/>
        </w:rPr>
        <w:t>«</w:t>
      </w:r>
      <w:r w:rsidR="00CD127D" w:rsidRPr="001160E6">
        <w:rPr>
          <w:i/>
          <w:iCs/>
          <w:sz w:val="28"/>
          <w:szCs w:val="28"/>
          <w:lang w:val="uk-UA"/>
        </w:rPr>
        <w:t>Олександр Волков проти України</w:t>
      </w:r>
      <w:r w:rsidR="00AA1263" w:rsidRPr="001160E6">
        <w:rPr>
          <w:i/>
          <w:iCs/>
          <w:sz w:val="28"/>
          <w:szCs w:val="28"/>
          <w:lang w:val="uk-UA"/>
        </w:rPr>
        <w:t>»</w:t>
      </w:r>
      <w:r w:rsidR="00CD127D" w:rsidRPr="001160E6">
        <w:rPr>
          <w:i/>
          <w:iCs/>
          <w:sz w:val="28"/>
          <w:szCs w:val="28"/>
          <w:lang w:val="uk-UA"/>
        </w:rPr>
        <w:t xml:space="preserve"> </w:t>
      </w:r>
      <w:r w:rsidR="00CD127D" w:rsidRPr="001160E6">
        <w:rPr>
          <w:sz w:val="28"/>
          <w:szCs w:val="28"/>
          <w:lang w:val="uk-UA"/>
        </w:rPr>
        <w:t>(</w:t>
      </w:r>
      <w:proofErr w:type="spellStart"/>
      <w:r w:rsidR="00CD127D" w:rsidRPr="001160E6">
        <w:rPr>
          <w:i/>
          <w:iCs/>
          <w:sz w:val="28"/>
          <w:szCs w:val="28"/>
          <w:lang w:val="uk-UA"/>
        </w:rPr>
        <w:t>Oleksandr</w:t>
      </w:r>
      <w:proofErr w:type="spellEnd"/>
      <w:r w:rsidR="00CD127D" w:rsidRPr="001160E6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CD127D" w:rsidRPr="001160E6">
        <w:rPr>
          <w:i/>
          <w:iCs/>
          <w:sz w:val="28"/>
          <w:szCs w:val="28"/>
          <w:lang w:val="uk-UA"/>
        </w:rPr>
        <w:t>Volkov</w:t>
      </w:r>
      <w:proofErr w:type="spellEnd"/>
      <w:r w:rsidR="00CD127D" w:rsidRPr="001160E6">
        <w:rPr>
          <w:i/>
          <w:iCs/>
          <w:sz w:val="28"/>
          <w:szCs w:val="28"/>
          <w:lang w:val="uk-UA"/>
        </w:rPr>
        <w:t xml:space="preserve"> v. </w:t>
      </w:r>
      <w:proofErr w:type="spellStart"/>
      <w:r w:rsidR="00CD127D" w:rsidRPr="001160E6">
        <w:rPr>
          <w:i/>
          <w:iCs/>
          <w:sz w:val="28"/>
          <w:szCs w:val="28"/>
          <w:lang w:val="uk-UA"/>
        </w:rPr>
        <w:t>Ukraine</w:t>
      </w:r>
      <w:proofErr w:type="spellEnd"/>
      <w:r w:rsidR="00CD127D" w:rsidRPr="001160E6">
        <w:rPr>
          <w:sz w:val="28"/>
          <w:szCs w:val="28"/>
          <w:lang w:val="uk-UA"/>
        </w:rPr>
        <w:t>)</w:t>
      </w:r>
      <w:r w:rsidR="00AA1263" w:rsidRPr="001160E6">
        <w:rPr>
          <w:sz w:val="28"/>
          <w:szCs w:val="28"/>
          <w:lang w:val="uk-UA"/>
        </w:rPr>
        <w:t xml:space="preserve">. 2013.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>:</w:t>
      </w:r>
      <w:r w:rsidR="00AA1263" w:rsidRPr="001160E6">
        <w:rPr>
          <w:color w:val="000000" w:themeColor="text1"/>
          <w:sz w:val="28"/>
          <w:szCs w:val="28"/>
          <w:lang w:val="ru-RU"/>
        </w:rPr>
        <w:t xml:space="preserve"> </w:t>
      </w:r>
      <w:hyperlink r:id="rId6" w:history="1">
        <w:r w:rsidR="00AA1263" w:rsidRPr="001160E6">
          <w:rPr>
            <w:rStyle w:val="ac"/>
            <w:rFonts w:eastAsiaTheme="majorEastAsia"/>
            <w:sz w:val="28"/>
            <w:szCs w:val="28"/>
          </w:rPr>
          <w:t>https://hudoc.echr.coe.int/fre#{%22itemid%22:[%22001-115871%22]}</w:t>
        </w:r>
      </w:hyperlink>
      <w:r w:rsidR="00CD127D" w:rsidRPr="001160E6">
        <w:rPr>
          <w:rStyle w:val="url"/>
          <w:rFonts w:eastAsiaTheme="majorEastAsia"/>
          <w:sz w:val="28"/>
          <w:szCs w:val="28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</w:t>
      </w:r>
      <w:r w:rsidR="00AA1263" w:rsidRPr="001160E6">
        <w:rPr>
          <w:sz w:val="28"/>
          <w:szCs w:val="28"/>
          <w:lang w:val="ru-RU" w:eastAsia="ru-RU"/>
        </w:rPr>
        <w:t>.</w:t>
      </w:r>
    </w:p>
    <w:p w14:paraId="50DAE46F" w14:textId="765F9F12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Венеційська комісія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Європи. Мірило </w:t>
      </w:r>
      <w:proofErr w:type="spellStart"/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правовладдя</w:t>
      </w:r>
      <w:proofErr w:type="spellEnd"/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</w:rPr>
        <w:t>Rule of Law Checklist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2016. 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7" w:history="1">
        <w:r w:rsidR="00AA1263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https://www.venice.coe.int/images/SITE%20IMAGES/Publicat</w:t>
        </w:r>
        <w:r w:rsidR="00AA1263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i</w:t>
        </w:r>
        <w:r w:rsidR="00AA1263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ons/Rule_of_Law_Check_List.pdf</w:t>
        </w:r>
      </w:hyperlink>
      <w:r w:rsidR="00CD127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AA1263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CED5B70" w14:textId="02CDC88E" w:rsidR="00CD127D" w:rsidRPr="001160E6" w:rsidRDefault="008E11CD" w:rsidP="00AA126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160E6">
        <w:rPr>
          <w:color w:val="000000" w:themeColor="text1"/>
          <w:sz w:val="28"/>
          <w:szCs w:val="28"/>
          <w:lang w:val="uk-UA"/>
        </w:rPr>
        <w:t>5.</w:t>
      </w:r>
      <w:r w:rsidRPr="001160E6">
        <w:rPr>
          <w:color w:val="000000" w:themeColor="text1"/>
          <w:sz w:val="28"/>
          <w:szCs w:val="28"/>
          <w:lang w:val="uk-UA"/>
        </w:rPr>
        <w:tab/>
      </w:r>
      <w:r w:rsidR="00AA1263" w:rsidRPr="001160E6">
        <w:rPr>
          <w:color w:val="000000" w:themeColor="text1"/>
          <w:sz w:val="28"/>
          <w:szCs w:val="28"/>
          <w:lang w:val="uk-UA"/>
        </w:rPr>
        <w:t>Закон України «</w:t>
      </w:r>
      <w:r w:rsidR="00CD127D" w:rsidRPr="001160E6">
        <w:rPr>
          <w:sz w:val="28"/>
          <w:szCs w:val="28"/>
        </w:rPr>
        <w:t>Про внесення змін до Конституції України (щодо правосуддя)</w:t>
      </w:r>
      <w:r w:rsidR="00AA1263" w:rsidRPr="001160E6">
        <w:rPr>
          <w:sz w:val="28"/>
          <w:szCs w:val="28"/>
          <w:lang w:val="uk-UA"/>
        </w:rPr>
        <w:t>»</w:t>
      </w:r>
      <w:r w:rsidR="00CD127D" w:rsidRPr="001160E6">
        <w:rPr>
          <w:sz w:val="28"/>
          <w:szCs w:val="28"/>
        </w:rPr>
        <w:t>.</w:t>
      </w:r>
      <w:r w:rsidR="008F27AC" w:rsidRPr="001160E6">
        <w:rPr>
          <w:sz w:val="28"/>
          <w:szCs w:val="28"/>
          <w:lang w:val="uk-UA"/>
        </w:rPr>
        <w:t xml:space="preserve"> </w:t>
      </w:r>
      <w:r w:rsidR="00CD127D" w:rsidRPr="001160E6">
        <w:rPr>
          <w:sz w:val="28"/>
          <w:szCs w:val="28"/>
        </w:rPr>
        <w:t xml:space="preserve">Офіційний Вебпортал </w:t>
      </w:r>
      <w:r w:rsidR="00CD127D" w:rsidRPr="001160E6">
        <w:rPr>
          <w:i/>
          <w:iCs/>
          <w:sz w:val="28"/>
          <w:szCs w:val="28"/>
        </w:rPr>
        <w:t>Парламенту України</w:t>
      </w:r>
      <w:r w:rsidR="00CD127D" w:rsidRPr="001160E6">
        <w:rPr>
          <w:sz w:val="28"/>
          <w:szCs w:val="28"/>
        </w:rPr>
        <w:t xml:space="preserve">. </w:t>
      </w:r>
      <w:r w:rsidR="00AA1263" w:rsidRPr="001160E6">
        <w:rPr>
          <w:sz w:val="28"/>
          <w:szCs w:val="28"/>
          <w:lang w:val="uk-UA"/>
        </w:rPr>
        <w:t xml:space="preserve">2016.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>:</w:t>
      </w:r>
      <w:r w:rsidR="00AA1263" w:rsidRPr="001160E6">
        <w:rPr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="00AA1263" w:rsidRPr="001160E6">
          <w:rPr>
            <w:rStyle w:val="ac"/>
            <w:rFonts w:eastAsiaTheme="majorEastAsia"/>
            <w:sz w:val="28"/>
            <w:szCs w:val="28"/>
          </w:rPr>
          <w:t>https://zakon.rada.gov.ua/laws/show/1401-19#Text</w:t>
        </w:r>
      </w:hyperlink>
      <w:r w:rsidR="00CD127D" w:rsidRPr="001160E6">
        <w:rPr>
          <w:rStyle w:val="url"/>
          <w:rFonts w:eastAsiaTheme="majorEastAsia"/>
          <w:sz w:val="28"/>
          <w:szCs w:val="28"/>
          <w:lang w:val="uk-UA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14.02.2024).</w:t>
      </w:r>
    </w:p>
    <w:p w14:paraId="0975F502" w14:textId="132D7610" w:rsidR="008E11CD" w:rsidRPr="001160E6" w:rsidRDefault="008E11CD" w:rsidP="003825E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160E6">
        <w:rPr>
          <w:color w:val="000000" w:themeColor="text1"/>
          <w:sz w:val="28"/>
          <w:szCs w:val="28"/>
          <w:lang w:val="uk-UA"/>
        </w:rPr>
        <w:t>6.</w:t>
      </w:r>
      <w:r w:rsidRPr="001160E6">
        <w:rPr>
          <w:color w:val="000000" w:themeColor="text1"/>
          <w:sz w:val="28"/>
          <w:szCs w:val="28"/>
          <w:lang w:val="uk-UA"/>
        </w:rPr>
        <w:tab/>
      </w:r>
      <w:r w:rsidR="00AA1263" w:rsidRPr="001160E6">
        <w:rPr>
          <w:color w:val="000000" w:themeColor="text1"/>
          <w:sz w:val="28"/>
          <w:szCs w:val="28"/>
          <w:lang w:val="uk-UA"/>
        </w:rPr>
        <w:t>Закон України «</w:t>
      </w:r>
      <w:r w:rsidR="008F27AC" w:rsidRPr="001160E6">
        <w:rPr>
          <w:sz w:val="28"/>
          <w:szCs w:val="28"/>
        </w:rPr>
        <w:t>Про внесення змін до Закону України “Про судоустрій і статус суддів” та</w:t>
      </w:r>
      <w:r w:rsidR="008F27AC" w:rsidRPr="001160E6">
        <w:rPr>
          <w:sz w:val="28"/>
          <w:szCs w:val="28"/>
          <w:lang w:val="uk-UA"/>
        </w:rPr>
        <w:t xml:space="preserve"> </w:t>
      </w:r>
      <w:r w:rsidR="008F27AC" w:rsidRPr="001160E6">
        <w:rPr>
          <w:sz w:val="28"/>
          <w:szCs w:val="28"/>
        </w:rPr>
        <w:t>деяких законів України щодо відновлення роботи Вищої кваліфікаційної комісії суддів України</w:t>
      </w:r>
      <w:r w:rsidR="00AA1263" w:rsidRPr="001160E6">
        <w:rPr>
          <w:sz w:val="28"/>
          <w:szCs w:val="28"/>
          <w:lang w:val="uk-UA"/>
        </w:rPr>
        <w:t>»</w:t>
      </w:r>
      <w:r w:rsidR="008F27AC" w:rsidRPr="001160E6">
        <w:rPr>
          <w:sz w:val="28"/>
          <w:szCs w:val="28"/>
        </w:rPr>
        <w:t xml:space="preserve">. </w:t>
      </w:r>
      <w:r w:rsidR="00AA1263" w:rsidRPr="001160E6">
        <w:rPr>
          <w:sz w:val="28"/>
          <w:szCs w:val="28"/>
          <w:lang w:val="uk-UA"/>
        </w:rPr>
        <w:t xml:space="preserve">2021.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 xml:space="preserve">: </w:t>
      </w:r>
      <w:hyperlink r:id="rId9" w:anchor="Text" w:history="1">
        <w:r w:rsidR="008F27AC" w:rsidRPr="001160E6">
          <w:rPr>
            <w:rStyle w:val="ac"/>
            <w:rFonts w:eastAsiaTheme="majorEastAsia"/>
            <w:sz w:val="28"/>
            <w:szCs w:val="28"/>
          </w:rPr>
          <w:t>https://zakon.rada.gov.ua/laws/show/1629-20#Text</w:t>
        </w:r>
      </w:hyperlink>
      <w:r w:rsidR="008F27AC" w:rsidRPr="001160E6">
        <w:rPr>
          <w:rStyle w:val="url"/>
          <w:rFonts w:eastAsiaTheme="majorEastAsia"/>
          <w:sz w:val="28"/>
          <w:szCs w:val="28"/>
          <w:lang w:val="uk-UA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14.02.2024).</w:t>
      </w:r>
    </w:p>
    <w:p w14:paraId="08B02359" w14:textId="069760BE" w:rsidR="00E53C01" w:rsidRPr="001160E6" w:rsidRDefault="008E11CD" w:rsidP="003825E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160E6">
        <w:rPr>
          <w:color w:val="000000" w:themeColor="text1"/>
          <w:sz w:val="28"/>
          <w:szCs w:val="28"/>
          <w:lang w:val="uk-UA"/>
        </w:rPr>
        <w:t>7.</w:t>
      </w:r>
      <w:r w:rsidRPr="001160E6">
        <w:rPr>
          <w:color w:val="000000" w:themeColor="text1"/>
          <w:sz w:val="28"/>
          <w:szCs w:val="28"/>
          <w:lang w:val="uk-UA"/>
        </w:rPr>
        <w:tab/>
      </w:r>
      <w:r w:rsidR="00AA1263" w:rsidRPr="001160E6">
        <w:rPr>
          <w:color w:val="000000" w:themeColor="text1"/>
          <w:sz w:val="28"/>
          <w:szCs w:val="28"/>
          <w:lang w:val="uk-UA"/>
        </w:rPr>
        <w:t>Закон України «</w:t>
      </w:r>
      <w:r w:rsidR="00E53C01" w:rsidRPr="001160E6">
        <w:rPr>
          <w:sz w:val="28"/>
          <w:szCs w:val="28"/>
        </w:rPr>
        <w:t>Про судоустрій і статус суддів</w:t>
      </w:r>
      <w:r w:rsidR="00AA1263" w:rsidRPr="001160E6">
        <w:rPr>
          <w:sz w:val="28"/>
          <w:szCs w:val="28"/>
          <w:lang w:val="uk-UA"/>
        </w:rPr>
        <w:t>»</w:t>
      </w:r>
      <w:r w:rsidR="00E53C01" w:rsidRPr="001160E6">
        <w:rPr>
          <w:sz w:val="28"/>
          <w:szCs w:val="28"/>
        </w:rPr>
        <w:t xml:space="preserve">. </w:t>
      </w:r>
      <w:r w:rsidR="00AA1263" w:rsidRPr="001160E6">
        <w:rPr>
          <w:sz w:val="28"/>
          <w:szCs w:val="28"/>
          <w:lang w:val="uk-UA"/>
        </w:rPr>
        <w:t xml:space="preserve">2016.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>:</w:t>
      </w:r>
      <w:r w:rsidR="00E53C01" w:rsidRPr="001160E6">
        <w:rPr>
          <w:sz w:val="28"/>
          <w:szCs w:val="28"/>
        </w:rPr>
        <w:t xml:space="preserve"> </w:t>
      </w:r>
      <w:hyperlink r:id="rId10" w:history="1">
        <w:r w:rsidR="00AA1263" w:rsidRPr="001160E6">
          <w:rPr>
            <w:rStyle w:val="ac"/>
            <w:rFonts w:eastAsiaTheme="majorEastAsia"/>
            <w:sz w:val="28"/>
            <w:szCs w:val="28"/>
          </w:rPr>
          <w:t>https://zakon.rada.gov.ua/laws/show/1402-19#Text</w:t>
        </w:r>
      </w:hyperlink>
      <w:r w:rsidR="00AA1263" w:rsidRPr="001160E6">
        <w:rPr>
          <w:rStyle w:val="url"/>
          <w:rFonts w:eastAsiaTheme="majorEastAsia"/>
          <w:sz w:val="28"/>
          <w:szCs w:val="28"/>
          <w:lang w:val="uk-UA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14.02.2024).</w:t>
      </w:r>
    </w:p>
    <w:p w14:paraId="2BF871CE" w14:textId="2B42D72E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Положення про проведення конкурсу на зайняття вакантної посади судді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затверджене рішенням 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валіфікаційн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суддів України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 листопада 2016 року № 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141/зп-16.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AA1263" w:rsidRPr="001160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F27AC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https://vkksu.gov.ua/sites/default/files/polozhenn</w:t>
        </w:r>
        <w:r w:rsidR="008F27AC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y</w:t>
        </w:r>
        <w:r w:rsidR="008F27AC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a_0.pdf</w:t>
        </w:r>
      </w:hyperlink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AA1263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AA1263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BD16367" w14:textId="6CBBF830" w:rsidR="008F27AC" w:rsidRPr="001160E6" w:rsidRDefault="008E11CD" w:rsidP="00AA126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0E6">
        <w:rPr>
          <w:color w:val="000000" w:themeColor="text1"/>
          <w:sz w:val="28"/>
          <w:szCs w:val="28"/>
          <w:lang w:val="uk-UA"/>
        </w:rPr>
        <w:t>9.</w:t>
      </w:r>
      <w:r w:rsidRPr="001160E6">
        <w:rPr>
          <w:color w:val="000000" w:themeColor="text1"/>
          <w:sz w:val="28"/>
          <w:szCs w:val="28"/>
          <w:lang w:val="uk-UA"/>
        </w:rPr>
        <w:tab/>
      </w:r>
      <w:r w:rsidR="00AA1263" w:rsidRPr="001160E6">
        <w:rPr>
          <w:color w:val="000000" w:themeColor="text1"/>
          <w:sz w:val="28"/>
          <w:szCs w:val="28"/>
          <w:lang w:val="uk-UA"/>
        </w:rPr>
        <w:t>Закон України «</w:t>
      </w:r>
      <w:r w:rsidR="008F27AC" w:rsidRPr="001160E6">
        <w:rPr>
          <w:sz w:val="28"/>
          <w:szCs w:val="28"/>
        </w:rPr>
        <w:t>Про внесення змін до деяких законодавчих актів України щодо уточнення положень про конкурсний відбір кандидатур на посаду судді Конституційного Суду України</w:t>
      </w:r>
      <w:r w:rsidR="00AA1263" w:rsidRPr="001160E6">
        <w:rPr>
          <w:sz w:val="28"/>
          <w:szCs w:val="28"/>
          <w:lang w:val="uk-UA"/>
        </w:rPr>
        <w:t>»</w:t>
      </w:r>
      <w:r w:rsidR="008F27AC" w:rsidRPr="001160E6">
        <w:rPr>
          <w:sz w:val="28"/>
          <w:szCs w:val="28"/>
        </w:rPr>
        <w:t>.</w:t>
      </w:r>
      <w:r w:rsidR="00AA1263" w:rsidRPr="001160E6">
        <w:rPr>
          <w:color w:val="000000" w:themeColor="text1"/>
          <w:sz w:val="28"/>
          <w:szCs w:val="28"/>
          <w:lang w:val="ru-RU"/>
        </w:rPr>
        <w:t xml:space="preserve"> 2023. </w:t>
      </w:r>
      <w:r w:rsidR="00AA1263" w:rsidRPr="001160E6">
        <w:rPr>
          <w:color w:val="000000" w:themeColor="text1"/>
          <w:sz w:val="28"/>
          <w:szCs w:val="28"/>
          <w:lang w:val="pl-PL"/>
        </w:rPr>
        <w:t>URL</w:t>
      </w:r>
      <w:r w:rsidR="00AA1263" w:rsidRPr="001160E6">
        <w:rPr>
          <w:color w:val="000000" w:themeColor="text1"/>
          <w:sz w:val="28"/>
          <w:szCs w:val="28"/>
          <w:lang w:val="ru-RU"/>
        </w:rPr>
        <w:t>:</w:t>
      </w:r>
      <w:r w:rsidR="008F27AC" w:rsidRPr="001160E6">
        <w:rPr>
          <w:sz w:val="28"/>
          <w:szCs w:val="28"/>
        </w:rPr>
        <w:t xml:space="preserve"> </w:t>
      </w:r>
      <w:hyperlink r:id="rId12" w:anchor="Text" w:history="1">
        <w:r w:rsidR="008F27AC" w:rsidRPr="001160E6">
          <w:rPr>
            <w:rStyle w:val="ac"/>
            <w:rFonts w:eastAsiaTheme="majorEastAsia"/>
            <w:sz w:val="28"/>
            <w:szCs w:val="28"/>
          </w:rPr>
          <w:t>https://zakon.rada.gov.ua/laws/show/3277-20#Text</w:t>
        </w:r>
      </w:hyperlink>
      <w:r w:rsidR="008F27AC" w:rsidRPr="001160E6">
        <w:rPr>
          <w:rStyle w:val="url"/>
          <w:rFonts w:eastAsiaTheme="majorEastAsia"/>
          <w:sz w:val="28"/>
          <w:szCs w:val="28"/>
          <w:lang w:val="uk-UA"/>
        </w:rPr>
        <w:t xml:space="preserve"> </w:t>
      </w:r>
      <w:r w:rsidR="00AA1263" w:rsidRPr="001160E6">
        <w:rPr>
          <w:sz w:val="28"/>
          <w:szCs w:val="28"/>
          <w:lang w:val="ru-RU" w:eastAsia="ru-RU"/>
        </w:rPr>
        <w:t>(</w:t>
      </w:r>
      <w:r w:rsidR="00AA1263" w:rsidRPr="001160E6">
        <w:rPr>
          <w:sz w:val="28"/>
          <w:szCs w:val="28"/>
          <w:lang w:val="uk-UA" w:eastAsia="ru-RU"/>
        </w:rPr>
        <w:t>дата звернення</w:t>
      </w:r>
      <w:r w:rsidR="00AA1263" w:rsidRPr="001160E6">
        <w:rPr>
          <w:sz w:val="28"/>
          <w:szCs w:val="28"/>
          <w:lang w:val="ru-RU" w:eastAsia="ru-RU"/>
        </w:rPr>
        <w:t>: 14.02.2024).</w:t>
      </w:r>
    </w:p>
    <w:p w14:paraId="5C43FCDB" w14:textId="7EC8D198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Венеці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ська комісія. Висновок щодо законопро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кту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вдосконалення процедури добору кандидатів на посаду судді Конституційного Суду України на конкурсній основі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2022.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3" w:history="1">
        <w:r w:rsidR="001777E9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https://www.venice.coe.int/webforms/documents/default.aspx?pdffile=CDL-AD(2022)054-e</w:t>
        </w:r>
      </w:hyperlink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1777E9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7484D6D" w14:textId="4D190834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F0D0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Венеці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ська комісія. Додатковий висновок до висновку щодо </w:t>
      </w:r>
      <w:proofErr w:type="spellStart"/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законопро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proofErr w:type="spellEnd"/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вдосконалення процедури відбору кандидатів на посаду судді Конституційного Суду України на конкурсній основі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2023.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URL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4" w:history="1">
        <w:r w:rsidR="001777E9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https://www.venice.coe.int/webforms/documents/?pdf=CDL-AD(2023)022-e</w:t>
        </w:r>
      </w:hyperlink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1777E9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BCF2FB4" w14:textId="544497FC" w:rsidR="008E11CD" w:rsidRPr="001160E6" w:rsidRDefault="008E11CD" w:rsidP="003825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F0D0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Пітер </w:t>
      </w:r>
      <w:proofErr w:type="spellStart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</w:t>
      </w:r>
      <w:proofErr w:type="spellEnd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Палома</w:t>
      </w:r>
      <w:proofErr w:type="spellEnd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Холл</w:t>
      </w:r>
      <w:proofErr w:type="spellEnd"/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Кабальєро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Україна: Заява речника щодо призначення членів Вищої ради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правосуддя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реформи Конституційного Суду. Опубліковано 13 січня 2023 р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оку.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</w:t>
      </w:r>
      <w:r w:rsidR="001777E9" w:rsidRPr="001160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Європейського Союзу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Зовнішня діяльність Європейського Союзу. Дипломатична служба Європейського Союзу. URL: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="001777E9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https://www.eeas.europa.eu/eeas/ukraine-statement-spokesperson-appointments-high-council-justice-members-and-reform-constitutional_en</w:t>
        </w:r>
      </w:hyperlink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(дата звернення: 14.02.2024)</w:t>
      </w:r>
      <w:r w:rsidR="001777E9" w:rsidRPr="001160E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0665F5D2" w14:textId="21D5F87D" w:rsidR="008E11CD" w:rsidRPr="001160E6" w:rsidRDefault="008E11CD" w:rsidP="001160E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F0D0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Європейська комісія. Звіт 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</w:t>
      </w:r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2023.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hyperlink r:id="rId16" w:history="1">
        <w:r w:rsidR="008F27AC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https://neighbourhood-enlargement.ec.europa.eu/document/download/bb61ea6d-dda6-4117-9347-a7191ecefc3f_en?filename=SWD_2023_699%20Ukraine%20report.pdf</w:t>
        </w:r>
      </w:hyperlink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1777E9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20B2D1C0" w14:textId="620ED7BC" w:rsidR="008E11CD" w:rsidRPr="001160E6" w:rsidRDefault="008E11CD" w:rsidP="001160E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F0D0D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«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Конституційний Суд України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2017. </w:t>
      </w:r>
      <w:r w:rsidR="001777E9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URL:</w:t>
      </w:r>
      <w:r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7" w:anchor="Text" w:history="1">
        <w:r w:rsidR="008F27AC" w:rsidRPr="001160E6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https://zakon.rada.gov.ua/laws/show/2136-19#Text</w:t>
        </w:r>
      </w:hyperlink>
      <w:r w:rsidR="008F27AC" w:rsidRPr="00116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дата звернення</w:t>
      </w:r>
      <w:r w:rsidR="001777E9" w:rsidRPr="001160E6">
        <w:rPr>
          <w:rFonts w:ascii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: 14.02.2024)</w:t>
      </w:r>
      <w:r w:rsidR="001777E9" w:rsidRPr="001160E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496C7535" w14:textId="6AABB24C" w:rsidR="007F0D0D" w:rsidRPr="001160E6" w:rsidRDefault="007F0D0D" w:rsidP="001160E6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160E6">
        <w:rPr>
          <w:sz w:val="28"/>
          <w:szCs w:val="28"/>
          <w:lang w:val="uk-UA"/>
        </w:rPr>
        <w:t>15.</w:t>
      </w:r>
      <w:r w:rsidR="001777E9" w:rsidRPr="001160E6">
        <w:rPr>
          <w:color w:val="000000" w:themeColor="text1"/>
          <w:sz w:val="28"/>
          <w:szCs w:val="28"/>
          <w:lang w:val="uk-UA"/>
        </w:rPr>
        <w:t>Закон України</w:t>
      </w:r>
      <w:r w:rsidRPr="001160E6">
        <w:rPr>
          <w:color w:val="000000" w:themeColor="text1"/>
          <w:sz w:val="28"/>
          <w:szCs w:val="28"/>
          <w:lang w:val="uk-UA"/>
        </w:rPr>
        <w:t xml:space="preserve"> </w:t>
      </w:r>
      <w:r w:rsidR="001777E9" w:rsidRPr="001160E6">
        <w:rPr>
          <w:color w:val="000000" w:themeColor="text1"/>
          <w:sz w:val="28"/>
          <w:szCs w:val="28"/>
          <w:lang w:val="uk-UA"/>
        </w:rPr>
        <w:t>«</w:t>
      </w:r>
      <w:r w:rsidRPr="001160E6">
        <w:rPr>
          <w:color w:val="000000" w:themeColor="text1"/>
          <w:sz w:val="28"/>
          <w:szCs w:val="28"/>
          <w:lang w:val="uk-UA"/>
        </w:rPr>
        <w:t>Про правовий режим воєнного стану</w:t>
      </w:r>
      <w:r w:rsidR="001777E9" w:rsidRPr="001160E6">
        <w:rPr>
          <w:color w:val="000000" w:themeColor="text1"/>
          <w:sz w:val="28"/>
          <w:szCs w:val="28"/>
          <w:lang w:val="uk-UA"/>
        </w:rPr>
        <w:t>»</w:t>
      </w:r>
      <w:r w:rsidRPr="001160E6">
        <w:rPr>
          <w:color w:val="000000" w:themeColor="text1"/>
          <w:sz w:val="28"/>
          <w:szCs w:val="28"/>
          <w:lang w:val="uk-UA"/>
        </w:rPr>
        <w:t xml:space="preserve">. </w:t>
      </w:r>
      <w:r w:rsidR="001777E9" w:rsidRPr="001160E6">
        <w:rPr>
          <w:color w:val="000000" w:themeColor="text1"/>
          <w:sz w:val="28"/>
          <w:szCs w:val="28"/>
          <w:lang w:val="uk-UA"/>
        </w:rPr>
        <w:t xml:space="preserve">2015. </w:t>
      </w:r>
      <w:r w:rsidR="001777E9" w:rsidRPr="001160E6">
        <w:rPr>
          <w:color w:val="000000" w:themeColor="text1"/>
          <w:sz w:val="28"/>
          <w:szCs w:val="28"/>
          <w:lang w:val="uk-UA"/>
        </w:rPr>
        <w:t>URL:</w:t>
      </w:r>
      <w:r w:rsidRPr="001160E6">
        <w:rPr>
          <w:color w:val="000000" w:themeColor="text1"/>
          <w:sz w:val="28"/>
          <w:szCs w:val="28"/>
          <w:lang w:val="uk-UA"/>
        </w:rPr>
        <w:t xml:space="preserve"> </w:t>
      </w:r>
      <w:hyperlink r:id="rId18" w:anchor="Text" w:history="1">
        <w:r w:rsidRPr="001160E6">
          <w:rPr>
            <w:rStyle w:val="ac"/>
            <w:sz w:val="28"/>
            <w:szCs w:val="28"/>
            <w:lang w:val="uk-UA"/>
          </w:rPr>
          <w:t>https://zakon.rada.gov.ua/laws/show/389-19#Text</w:t>
        </w:r>
      </w:hyperlink>
      <w:r w:rsidR="001777E9" w:rsidRPr="001160E6">
        <w:rPr>
          <w:rStyle w:val="ac"/>
          <w:sz w:val="28"/>
          <w:szCs w:val="28"/>
          <w:lang w:val="uk-UA"/>
        </w:rPr>
        <w:t xml:space="preserve"> </w:t>
      </w:r>
      <w:r w:rsidR="001777E9" w:rsidRPr="001160E6">
        <w:rPr>
          <w:sz w:val="28"/>
          <w:szCs w:val="28"/>
          <w:lang w:val="ru-RU" w:eastAsia="ru-RU"/>
        </w:rPr>
        <w:t>(</w:t>
      </w:r>
      <w:r w:rsidR="001777E9" w:rsidRPr="001160E6">
        <w:rPr>
          <w:sz w:val="28"/>
          <w:szCs w:val="28"/>
          <w:lang w:val="uk-UA" w:eastAsia="ru-RU"/>
        </w:rPr>
        <w:t>дата звернення</w:t>
      </w:r>
      <w:r w:rsidR="001777E9" w:rsidRPr="001160E6">
        <w:rPr>
          <w:sz w:val="28"/>
          <w:szCs w:val="28"/>
          <w:lang w:val="ru-RU" w:eastAsia="ru-RU"/>
        </w:rPr>
        <w:t>: 14.02.2024).</w:t>
      </w:r>
    </w:p>
    <w:p w14:paraId="30BE17D4" w14:textId="26BF4605" w:rsidR="007F0D0D" w:rsidRPr="001160E6" w:rsidRDefault="007F0D0D" w:rsidP="001160E6">
      <w:pPr>
        <w:pStyle w:val="af"/>
        <w:spacing w:before="0" w:beforeAutospacing="0" w:after="0" w:afterAutospacing="0" w:line="360" w:lineRule="auto"/>
        <w:ind w:firstLine="709"/>
        <w:jc w:val="both"/>
        <w:rPr>
          <w:rStyle w:val="url"/>
          <w:sz w:val="28"/>
          <w:szCs w:val="28"/>
        </w:rPr>
      </w:pPr>
      <w:r w:rsidRPr="001160E6">
        <w:rPr>
          <w:sz w:val="28"/>
          <w:szCs w:val="28"/>
          <w:lang w:val="uk-UA"/>
        </w:rPr>
        <w:t xml:space="preserve">16. </w:t>
      </w:r>
      <w:r w:rsidR="001777E9" w:rsidRPr="001160E6">
        <w:rPr>
          <w:sz w:val="28"/>
          <w:szCs w:val="28"/>
          <w:lang w:val="uk-UA"/>
        </w:rPr>
        <w:t>Закон України «</w:t>
      </w:r>
      <w:r w:rsidRPr="001160E6">
        <w:rPr>
          <w:sz w:val="28"/>
          <w:szCs w:val="28"/>
        </w:rPr>
        <w:t>Про Вищу раду правосуддя</w:t>
      </w:r>
      <w:r w:rsidR="001777E9" w:rsidRPr="001160E6">
        <w:rPr>
          <w:sz w:val="28"/>
          <w:szCs w:val="28"/>
          <w:lang w:val="uk-UA"/>
        </w:rPr>
        <w:t xml:space="preserve">». 2016. </w:t>
      </w:r>
      <w:r w:rsidRPr="001160E6">
        <w:rPr>
          <w:i/>
          <w:iCs/>
          <w:sz w:val="28"/>
          <w:szCs w:val="28"/>
        </w:rPr>
        <w:t>LIGA:ZAKON</w:t>
      </w:r>
      <w:r w:rsidRPr="001160E6">
        <w:rPr>
          <w:sz w:val="28"/>
          <w:szCs w:val="28"/>
        </w:rPr>
        <w:t xml:space="preserve">. </w:t>
      </w:r>
      <w:r w:rsidR="001777E9" w:rsidRPr="001160E6">
        <w:rPr>
          <w:color w:val="000000" w:themeColor="text1"/>
          <w:sz w:val="28"/>
          <w:szCs w:val="28"/>
          <w:lang w:val="uk-UA"/>
        </w:rPr>
        <w:t>URL:</w:t>
      </w:r>
      <w:r w:rsidR="001777E9" w:rsidRPr="001160E6">
        <w:rPr>
          <w:sz w:val="28"/>
          <w:szCs w:val="28"/>
        </w:rPr>
        <w:t xml:space="preserve"> </w:t>
      </w:r>
      <w:hyperlink r:id="rId19" w:history="1">
        <w:r w:rsidR="001777E9" w:rsidRPr="001160E6">
          <w:rPr>
            <w:rStyle w:val="ac"/>
            <w:rFonts w:eastAsiaTheme="majorEastAsia"/>
            <w:sz w:val="28"/>
            <w:szCs w:val="28"/>
          </w:rPr>
          <w:t>https://ips.ligazakon.net/document/t161798?an=1243</w:t>
        </w:r>
      </w:hyperlink>
      <w:r w:rsidRPr="001160E6">
        <w:rPr>
          <w:rStyle w:val="url"/>
          <w:rFonts w:eastAsiaTheme="majorEastAsia"/>
          <w:sz w:val="28"/>
          <w:szCs w:val="28"/>
          <w:lang w:val="uk-UA"/>
        </w:rPr>
        <w:t xml:space="preserve"> </w:t>
      </w:r>
      <w:r w:rsidR="001777E9" w:rsidRPr="001160E6">
        <w:rPr>
          <w:sz w:val="28"/>
          <w:szCs w:val="28"/>
          <w:lang w:val="uk-UA" w:eastAsia="ru-RU"/>
        </w:rPr>
        <w:t>(дата звернення: 14.02.2024).</w:t>
      </w:r>
    </w:p>
    <w:p w14:paraId="64B0C441" w14:textId="77777777" w:rsidR="00E53C01" w:rsidRPr="001160E6" w:rsidRDefault="00E53C01" w:rsidP="001777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53C01" w:rsidRPr="001160E6" w:rsidSect="00D64C3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CD"/>
    <w:rsid w:val="001160E6"/>
    <w:rsid w:val="00157E7F"/>
    <w:rsid w:val="001777E9"/>
    <w:rsid w:val="0022515B"/>
    <w:rsid w:val="002C78B2"/>
    <w:rsid w:val="003825E8"/>
    <w:rsid w:val="00541E3A"/>
    <w:rsid w:val="007B1CDD"/>
    <w:rsid w:val="007F0D0D"/>
    <w:rsid w:val="007F0FD1"/>
    <w:rsid w:val="008E11CD"/>
    <w:rsid w:val="008F27AC"/>
    <w:rsid w:val="00AA1263"/>
    <w:rsid w:val="00B7133B"/>
    <w:rsid w:val="00C82E02"/>
    <w:rsid w:val="00C967F7"/>
    <w:rsid w:val="00CD127D"/>
    <w:rsid w:val="00D218AE"/>
    <w:rsid w:val="00D64C35"/>
    <w:rsid w:val="00E53C01"/>
    <w:rsid w:val="00EA7CED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47A67"/>
  <w15:chartTrackingRefBased/>
  <w15:docId w15:val="{CFE3FCA2-30E1-7C47-9141-94C9364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1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E11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11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11C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11C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11C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11C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11C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E11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11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1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1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11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E11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11C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E11C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E11C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E1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E11C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E11CD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D127D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D127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D127D"/>
    <w:rPr>
      <w:color w:val="96607D" w:themeColor="followedHyperlink"/>
      <w:u w:val="single"/>
    </w:rPr>
  </w:style>
  <w:style w:type="paragraph" w:styleId="af">
    <w:name w:val="Normal (Web)"/>
    <w:basedOn w:val="a"/>
    <w:uiPriority w:val="99"/>
    <w:unhideWhenUsed/>
    <w:rsid w:val="00CD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url">
    <w:name w:val="url"/>
    <w:basedOn w:val="a0"/>
    <w:rsid w:val="00CD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3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34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07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62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1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4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68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1-19#Text" TargetMode="External"/><Relationship Id="rId13" Type="http://schemas.openxmlformats.org/officeDocument/2006/relationships/hyperlink" Target="https://www.venice.coe.int/webforms/documents/default.aspx?pdffile=CDL-AD(2022)054-e" TargetMode="External"/><Relationship Id="rId18" Type="http://schemas.openxmlformats.org/officeDocument/2006/relationships/hyperlink" Target="https://zakon.rada.gov.ua/laws/show/389-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enice.coe.int/images/SITE%20IMAGES/Publications/Rule_of_Law_Check_List.pdf" TargetMode="External"/><Relationship Id="rId12" Type="http://schemas.openxmlformats.org/officeDocument/2006/relationships/hyperlink" Target="https://zakon.rada.gov.ua/laws/show/3277-20" TargetMode="External"/><Relationship Id="rId17" Type="http://schemas.openxmlformats.org/officeDocument/2006/relationships/hyperlink" Target="https://zakon.rada.gov.ua/laws/show/2136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ighbourhood-enlargement.ec.europa.eu/document/download/bb61ea6d-dda6-4117-9347-a7191ecefc3f_en?filename=SWD_2023_699%20Ukraine%20report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doc.echr.coe.int/fre#{%22itemid%22:[%22001-115871%22]}" TargetMode="External"/><Relationship Id="rId11" Type="http://schemas.openxmlformats.org/officeDocument/2006/relationships/hyperlink" Target="https://vkksu.gov.ua/sites/default/files/polozhennya_0.pdf" TargetMode="External"/><Relationship Id="rId5" Type="http://schemas.openxmlformats.org/officeDocument/2006/relationships/hyperlink" Target="https://www.venice.coe.int/webforms/documents/?pdf=CDL-AD(2011)003rev-e" TargetMode="External"/><Relationship Id="rId15" Type="http://schemas.openxmlformats.org/officeDocument/2006/relationships/hyperlink" Target="https://www.eeas.europa.eu/eeas/ukraine-statement-spokesperson-appointments-high-council-justice-members-and-reform-constitutional_en" TargetMode="External"/><Relationship Id="rId10" Type="http://schemas.openxmlformats.org/officeDocument/2006/relationships/hyperlink" Target="https://zakon.rada.gov.ua/laws/show/1402-19#Text" TargetMode="External"/><Relationship Id="rId19" Type="http://schemas.openxmlformats.org/officeDocument/2006/relationships/hyperlink" Target="https://ips.ligazakon.net/document/t161798?an=1243" TargetMode="External"/><Relationship Id="rId4" Type="http://schemas.openxmlformats.org/officeDocument/2006/relationships/hyperlink" Target="https://www.echr.coe.int/documents/d/echr/convention_ENG" TargetMode="External"/><Relationship Id="rId9" Type="http://schemas.openxmlformats.org/officeDocument/2006/relationships/hyperlink" Target="https://zakon.rada.gov.ua/laws/show/1629-20" TargetMode="External"/><Relationship Id="rId14" Type="http://schemas.openxmlformats.org/officeDocument/2006/relationships/hyperlink" Target="https://www.venice.coe.int/webforms/documents/?pdf=CDL-AD(2023)022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Смірнова</dc:creator>
  <cp:keywords/>
  <dc:description/>
  <cp:lastModifiedBy>Кристина Кристина</cp:lastModifiedBy>
  <cp:revision>2</cp:revision>
  <dcterms:created xsi:type="dcterms:W3CDTF">2024-03-09T23:04:00Z</dcterms:created>
  <dcterms:modified xsi:type="dcterms:W3CDTF">2024-03-09T23:04:00Z</dcterms:modified>
</cp:coreProperties>
</file>