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36C81" w:rsidRPr="006E6279" w:rsidRDefault="00C70EA9">
      <w:pPr>
        <w:spacing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6E62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Луїза</w:t>
      </w:r>
      <w:proofErr w:type="spellEnd"/>
      <w:r w:rsidRPr="006E62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Маркосян</w:t>
      </w:r>
    </w:p>
    <w:p w14:paraId="00000002" w14:textId="77777777" w:rsidR="00436C81" w:rsidRDefault="00436C8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436C81" w:rsidRDefault="00C70E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конституційної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скарги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механізму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Україні</w:t>
      </w:r>
      <w:proofErr w:type="spellEnd"/>
    </w:p>
    <w:p w14:paraId="00000004" w14:textId="77777777" w:rsidR="00436C81" w:rsidRDefault="00436C81">
      <w:pPr>
        <w:spacing w:line="30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436C81" w:rsidRDefault="00C70EA9">
      <w:pPr>
        <w:keepLines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2016 року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введено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подати,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виче</w:t>
      </w:r>
      <w:r>
        <w:rPr>
          <w:rFonts w:ascii="Times New Roman" w:eastAsia="Times New Roman" w:hAnsi="Times New Roman" w:cs="Times New Roman"/>
          <w:sz w:val="28"/>
          <w:szCs w:val="28"/>
        </w:rPr>
        <w:t>рпано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6" w14:textId="54868268" w:rsidR="00436C81" w:rsidRDefault="00C70EA9">
      <w:pPr>
        <w:keepLines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27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6E627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скарга</w:t>
      </w:r>
      <w:proofErr w:type="spellEnd"/>
      <w:r w:rsidR="006E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Суду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клопотання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конституційність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застосовани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остаточному судовому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рішенні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справі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конституційну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скаргу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особа,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78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80786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рішенні суду вищої інстанції</w:t>
      </w:r>
      <w:r w:rsidR="00780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суперечить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sz w:val="28"/>
          <w:szCs w:val="28"/>
        </w:rPr>
        <w:t>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належать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юридичні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публічного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права.</w:t>
      </w:r>
    </w:p>
    <w:p w14:paraId="00000007" w14:textId="5D9BBD5A" w:rsidR="00436C81" w:rsidRDefault="00C70EA9">
      <w:pPr>
        <w:keepLines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прогресивним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аконну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виняткових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неконституційними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механізмом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E6279">
        <w:rPr>
          <w:rFonts w:ascii="Times New Roman" w:eastAsia="Times New Roman" w:hAnsi="Times New Roman" w:cs="Times New Roman"/>
          <w:sz w:val="28"/>
          <w:szCs w:val="28"/>
          <w:lang w:val="uk-UA"/>
        </w:rPr>
        <w:t>вдосконалення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лібералізації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26579B78" w:rsidR="00436C81" w:rsidRDefault="00C70EA9">
      <w:pPr>
        <w:keepLines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чином,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приписами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модель,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введена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E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6E62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E6279" w:rsidRPr="006E627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«</w:t>
      </w:r>
      <w:r w:rsidRPr="006E6279">
        <w:rPr>
          <w:rFonts w:ascii="Times New Roman" w:eastAsia="Times New Roman" w:hAnsi="Times New Roman" w:cs="Times New Roman"/>
          <w:i/>
          <w:iCs/>
          <w:sz w:val="28"/>
          <w:szCs w:val="28"/>
        </w:rPr>
        <w:t>нормативна</w:t>
      </w:r>
      <w:r w:rsidR="006E6279" w:rsidRPr="006E627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»</w:t>
      </w:r>
      <w:r w:rsidRPr="006E62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модель </w:t>
      </w:r>
      <w:proofErr w:type="spellStart"/>
      <w:r w:rsidRPr="006E6279">
        <w:rPr>
          <w:rFonts w:ascii="Times New Roman" w:eastAsia="Times New Roman" w:hAnsi="Times New Roman" w:cs="Times New Roman"/>
          <w:i/>
          <w:iCs/>
          <w:sz w:val="28"/>
          <w:szCs w:val="28"/>
        </w:rPr>
        <w:t>інституту</w:t>
      </w:r>
      <w:proofErr w:type="spellEnd"/>
      <w:r w:rsidRPr="006E62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i/>
          <w:iCs/>
          <w:sz w:val="28"/>
          <w:szCs w:val="28"/>
        </w:rPr>
        <w:t>конституційної</w:t>
      </w:r>
      <w:proofErr w:type="spellEnd"/>
      <w:r w:rsidRPr="006E62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i/>
          <w:iCs/>
          <w:sz w:val="28"/>
          <w:szCs w:val="28"/>
        </w:rPr>
        <w:t>скарги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27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пунктом 30 </w:t>
      </w:r>
      <w:r w:rsidR="006E627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Переглянутого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Індивідуальний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Правосуддя</w:t>
      </w:r>
      <w:proofErr w:type="spellEnd"/>
      <w:r w:rsidR="006E627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Венеціанською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2020 року).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оскаржений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основою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індивідуально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-правового акта</w:t>
      </w:r>
      <w:r w:rsidR="006E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279">
        <w:rPr>
          <w:rFonts w:ascii="Times New Roman" w:eastAsia="Times New Roman" w:hAnsi="Times New Roman" w:cs="Times New Roman"/>
          <w:sz w:val="28"/>
          <w:szCs w:val="28"/>
          <w:lang w:val="uk-UA"/>
        </w:rPr>
        <w:t>остаточного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6279">
        <w:rPr>
          <w:rFonts w:ascii="Times New Roman" w:eastAsia="Times New Roman" w:hAnsi="Times New Roman" w:cs="Times New Roman"/>
          <w:sz w:val="28"/>
          <w:szCs w:val="28"/>
          <w:lang w:val="uk-UA"/>
        </w:rPr>
        <w:t>У випадку ж задоволення конституційної скарги, дане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r w:rsidR="006E6279">
        <w:rPr>
          <w:rFonts w:ascii="Times New Roman" w:eastAsia="Times New Roman" w:hAnsi="Times New Roman" w:cs="Times New Roman"/>
          <w:sz w:val="28"/>
          <w:szCs w:val="28"/>
          <w:lang w:val="uk-UA"/>
        </w:rPr>
        <w:t>переглянуте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порядком,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237534A2" w:rsidR="00436C81" w:rsidRDefault="00C70EA9">
      <w:pPr>
        <w:keepLines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27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Щорічною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інформаційною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доповіддю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подано 248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(12%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sz w:val="28"/>
          <w:szCs w:val="28"/>
        </w:rPr>
        <w:t>иманих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); 140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(56%)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Закону. </w:t>
      </w:r>
      <w:r w:rsidR="006E6279">
        <w:rPr>
          <w:rFonts w:ascii="Times New Roman" w:eastAsia="Times New Roman" w:hAnsi="Times New Roman" w:cs="Times New Roman"/>
          <w:sz w:val="28"/>
          <w:szCs w:val="28"/>
          <w:lang w:val="uk-UA"/>
        </w:rPr>
        <w:t>При цьому б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ільшість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стосувалися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пенсійного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 w:rsidR="006E627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кримінального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27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юстиції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A" w14:textId="433682BD" w:rsidR="00436C81" w:rsidRDefault="006E6279">
      <w:pPr>
        <w:keepLines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Більше того</w:t>
      </w:r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, практика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Конституційного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Суду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демонструє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інституту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конституційної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скарги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національне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законодавство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, у 2019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конституційної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скарги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Конституційний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Суд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видав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скас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ував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Кри</w:t>
      </w:r>
      <w:r w:rsidR="00C70EA9">
        <w:rPr>
          <w:rFonts w:ascii="Times New Roman" w:eastAsia="Times New Roman" w:hAnsi="Times New Roman" w:cs="Times New Roman"/>
          <w:sz w:val="28"/>
          <w:szCs w:val="28"/>
        </w:rPr>
        <w:t>мінального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процесуального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кодексу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передбачало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запобіжні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заходи у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особистого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зобов</w:t>
      </w:r>
      <w:r w:rsidR="00EE7B91" w:rsidRPr="00EE7B91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язання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особистої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поруки,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домашнього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арешту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застави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застосовуватися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підозрюються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обвинувачуються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вчиненні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певних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злочинів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Фактично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, норма, яка не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відповідала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принципам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справедливості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та верховенств</w:t>
      </w:r>
      <w:r w:rsidR="00EE7B9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права,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вилучена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A9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="00C70E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B" w14:textId="61C232F4" w:rsidR="00436C81" w:rsidRDefault="00C70EA9">
      <w:pPr>
        <w:keepLines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2022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пенсійного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ійськовослужбовців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неконституційними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7B91">
        <w:rPr>
          <w:rFonts w:ascii="Times New Roman" w:eastAsia="Times New Roman" w:hAnsi="Times New Roman" w:cs="Times New Roman"/>
          <w:sz w:val="28"/>
          <w:szCs w:val="28"/>
          <w:lang w:val="uk-UA"/>
        </w:rPr>
        <w:t>Крім 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Суд </w:t>
      </w:r>
      <w:r w:rsidR="00EE7B91">
        <w:rPr>
          <w:rFonts w:ascii="Times New Roman" w:eastAsia="Times New Roman" w:hAnsi="Times New Roman" w:cs="Times New Roman"/>
          <w:sz w:val="28"/>
          <w:szCs w:val="28"/>
          <w:lang w:val="uk-UA"/>
        </w:rPr>
        <w:t>наказав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нормативне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високих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B9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C" w14:textId="2E3AC3D2" w:rsidR="00436C81" w:rsidRDefault="00C70EA9">
      <w:pPr>
        <w:keepLines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конституційно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удосконалив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постраждали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катастрофи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Чорнобильській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АЕС.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скасовано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</w:rPr>
        <w:t>несених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(особи,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постраждали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катастрофи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Чорнобильській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АЕС) і </w:t>
      </w:r>
      <w:r w:rsidR="00EE7B9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</w:t>
      </w:r>
      <w:r w:rsidR="00EE7B91" w:rsidRPr="00EE7B91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втратою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годувальника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виплачується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порядку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фондів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</w:t>
      </w:r>
      <w:r w:rsidR="00EE7B91" w:rsidRPr="00EE7B91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язкового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страхування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Суд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інвалідність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хворобу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втрату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годувальника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катастрофи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Чорнобильській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АЕС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фінансо</w:t>
      </w:r>
      <w:r>
        <w:rPr>
          <w:rFonts w:ascii="Times New Roman" w:eastAsia="Times New Roman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D" w14:textId="42A7179A" w:rsidR="00436C81" w:rsidRDefault="00C70EA9">
      <w:pPr>
        <w:keepLines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індивідуальної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вказує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поправок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Таким чином,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</w:t>
      </w:r>
      <w:r>
        <w:rPr>
          <w:rFonts w:ascii="Times New Roman" w:eastAsia="Times New Roman" w:hAnsi="Times New Roman" w:cs="Times New Roman"/>
          <w:sz w:val="28"/>
          <w:szCs w:val="28"/>
        </w:rPr>
        <w:t>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B91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</w:t>
      </w:r>
      <w:r w:rsidR="00EE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сприятиме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правового спору,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1F415081" w:rsidR="00436C81" w:rsidRDefault="00C70EA9">
      <w:pPr>
        <w:keepLines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поточна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оскарження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проявити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Тому,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механізмів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</w:t>
      </w:r>
      <w:r>
        <w:rPr>
          <w:rFonts w:ascii="Times New Roman" w:eastAsia="Times New Roman" w:hAnsi="Times New Roman" w:cs="Times New Roman"/>
          <w:sz w:val="28"/>
          <w:szCs w:val="28"/>
        </w:rPr>
        <w:t>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оскарження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нормативних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F" w14:textId="0ADDF3FD" w:rsidR="00436C81" w:rsidRDefault="00C70EA9">
      <w:pPr>
        <w:keepLines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Ідеальною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 модель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sz w:val="28"/>
          <w:szCs w:val="28"/>
        </w:rPr>
        <w:t>хоплюючою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По-перше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вона могла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оскаржити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індивідуальних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порушили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фундаментальні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 (так звана </w:t>
      </w:r>
      <w:r w:rsidR="00EE7B91" w:rsidRPr="00EE7B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«</w:t>
      </w:r>
      <w:proofErr w:type="spellStart"/>
      <w:r w:rsidRPr="00EE7B91">
        <w:rPr>
          <w:rFonts w:ascii="Times New Roman" w:eastAsia="Times New Roman" w:hAnsi="Times New Roman" w:cs="Times New Roman"/>
          <w:i/>
          <w:iCs/>
          <w:sz w:val="28"/>
          <w:szCs w:val="28"/>
        </w:rPr>
        <w:t>повна</w:t>
      </w:r>
      <w:proofErr w:type="spellEnd"/>
      <w:r w:rsidRPr="00EE7B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E7B91">
        <w:rPr>
          <w:rFonts w:ascii="Times New Roman" w:eastAsia="Times New Roman" w:hAnsi="Times New Roman" w:cs="Times New Roman"/>
          <w:i/>
          <w:iCs/>
          <w:sz w:val="28"/>
          <w:szCs w:val="28"/>
        </w:rPr>
        <w:t>конституційна</w:t>
      </w:r>
      <w:proofErr w:type="spellEnd"/>
      <w:r w:rsidRPr="00EE7B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E7B91">
        <w:rPr>
          <w:rFonts w:ascii="Times New Roman" w:eastAsia="Times New Roman" w:hAnsi="Times New Roman" w:cs="Times New Roman"/>
          <w:i/>
          <w:iCs/>
          <w:sz w:val="28"/>
          <w:szCs w:val="28"/>
        </w:rPr>
        <w:t>скарга</w:t>
      </w:r>
      <w:proofErr w:type="spellEnd"/>
      <w:r w:rsidR="00EE7B91" w:rsidRPr="00EE7B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EE7B9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корупції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недоречного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тлумачення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0" w14:textId="62F73E3E" w:rsidR="00436C81" w:rsidRDefault="00C70EA9">
      <w:pPr>
        <w:keepLines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формою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введеними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законами як </w:t>
      </w:r>
      <w:proofErr w:type="spellStart"/>
      <w:r w:rsidRPr="00EE7B91">
        <w:rPr>
          <w:rFonts w:ascii="Times New Roman" w:eastAsia="Times New Roman" w:hAnsi="Times New Roman" w:cs="Times New Roman"/>
          <w:i/>
          <w:iCs/>
          <w:sz w:val="28"/>
          <w:szCs w:val="28"/>
        </w:rPr>
        <w:t>actio</w:t>
      </w:r>
      <w:proofErr w:type="spellEnd"/>
      <w:r w:rsidRPr="00EE7B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E7B91">
        <w:rPr>
          <w:rFonts w:ascii="Times New Roman" w:eastAsia="Times New Roman" w:hAnsi="Times New Roman" w:cs="Times New Roman"/>
          <w:i/>
          <w:iCs/>
          <w:sz w:val="28"/>
          <w:szCs w:val="28"/>
        </w:rPr>
        <w:t>popularis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 проводить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абстрактний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акта.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Венеційська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застерігає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7B91">
        <w:rPr>
          <w:rFonts w:ascii="Times New Roman" w:eastAsia="Times New Roman" w:hAnsi="Times New Roman" w:cs="Times New Roman"/>
          <w:i/>
          <w:iCs/>
          <w:sz w:val="28"/>
          <w:szCs w:val="28"/>
        </w:rPr>
        <w:t>actio</w:t>
      </w:r>
      <w:proofErr w:type="spellEnd"/>
      <w:r w:rsidRPr="00EE7B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E7B91">
        <w:rPr>
          <w:rFonts w:ascii="Times New Roman" w:eastAsia="Times New Roman" w:hAnsi="Times New Roman" w:cs="Times New Roman"/>
          <w:i/>
          <w:iCs/>
          <w:sz w:val="28"/>
          <w:szCs w:val="28"/>
        </w:rPr>
        <w:t>popularis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перенавантаження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Суду. Тим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введена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умов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popularis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перенавантаженню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Ліхтенштейну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Перу). </w:t>
      </w:r>
      <w:r w:rsidR="00EE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доречна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правозахисних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(ПО)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r w:rsidR="00EE7B9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позивачі</w:t>
      </w:r>
      <w:proofErr w:type="spellEnd"/>
      <w:r w:rsidR="00EE7B9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B91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сприяючи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</w:t>
      </w:r>
      <w:r w:rsidR="00EE7B91"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</w:t>
      </w:r>
      <w:r w:rsidR="00EE7B91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бути зобов</w:t>
      </w:r>
      <w:r w:rsidR="00EE7B91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приватних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постраждали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акта.</w:t>
      </w:r>
    </w:p>
    <w:p w14:paraId="00000011" w14:textId="77777777" w:rsidR="00436C81" w:rsidRDefault="00C70EA9">
      <w:pPr>
        <w:keepLines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налізуючи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стверджувати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фізичні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юридичні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публічного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звертатися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оскаржувати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судами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справах.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великий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механізмі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2" w14:textId="13903305" w:rsidR="00436C81" w:rsidRDefault="00C70EA9">
      <w:pPr>
        <w:keepLines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заключення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неконституційні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780786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рішенні суду вищої інстанції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справедливість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кожному конкретному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Подальший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механізму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786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абезпечив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достатньо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широкі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гарантовані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3" w14:textId="77777777" w:rsidR="00436C81" w:rsidRDefault="00436C8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4" w14:textId="3AAEF02A" w:rsidR="00436C81" w:rsidRPr="00780786" w:rsidRDefault="00C70EA9" w:rsidP="006E62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E6279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6E6279">
        <w:rPr>
          <w:rFonts w:ascii="Times New Roman" w:eastAsia="Times New Roman" w:hAnsi="Times New Roman" w:cs="Times New Roman"/>
          <w:b/>
          <w:sz w:val="28"/>
          <w:szCs w:val="28"/>
        </w:rPr>
        <w:t>використаної</w:t>
      </w:r>
      <w:proofErr w:type="spellEnd"/>
      <w:r w:rsidRPr="006E62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b/>
          <w:sz w:val="28"/>
          <w:szCs w:val="28"/>
        </w:rPr>
        <w:t>літератури</w:t>
      </w:r>
      <w:proofErr w:type="spellEnd"/>
      <w:r w:rsidR="007807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14:paraId="00000015" w14:textId="72CACC02" w:rsidR="00436C81" w:rsidRPr="006E6279" w:rsidRDefault="00C70EA9" w:rsidP="006E6279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Бесчастний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В. М.,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Запорожець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В. І.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Інститут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конституційної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скарги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в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Україні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: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сучасний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стан та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перспективи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розвитку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. </w:t>
      </w:r>
      <w:proofErr w:type="spellStart"/>
      <w:r w:rsidRPr="00780786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</w:rPr>
        <w:t>Правовий</w:t>
      </w:r>
      <w:proofErr w:type="spellEnd"/>
      <w:r w:rsidRPr="00780786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</w:rPr>
        <w:t xml:space="preserve"> </w:t>
      </w:r>
      <w:proofErr w:type="spellStart"/>
      <w:r w:rsidRPr="00780786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</w:rPr>
        <w:t>часопис</w:t>
      </w:r>
      <w:proofErr w:type="spellEnd"/>
      <w:r w:rsidRPr="00780786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</w:rPr>
        <w:t xml:space="preserve"> </w:t>
      </w:r>
      <w:proofErr w:type="spellStart"/>
      <w:r w:rsidRPr="00780786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</w:rPr>
        <w:t>Донбасу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. </w:t>
      </w:r>
      <w:r w:rsidR="00774FA2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№ </w:t>
      </w:r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3 (72). 2020. С. 9</w:t>
      </w:r>
      <w:r w:rsidR="00780786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– </w:t>
      </w:r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20. DOI: </w:t>
      </w:r>
      <w:hyperlink r:id="rId5"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://doi.org/1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0.32366/2523-4269-2020-72-3-9-20</w:t>
        </w:r>
      </w:hyperlink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</w:p>
    <w:p w14:paraId="00000016" w14:textId="23FD3E3F" w:rsidR="00436C81" w:rsidRPr="006E6279" w:rsidRDefault="00C70EA9" w:rsidP="006E6279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Про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Конституційний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Суд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України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: Закон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України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від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13.07.2017 </w:t>
      </w:r>
      <w:r w:rsidR="00780786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№</w:t>
      </w:r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. 2136-VIII. </w:t>
      </w:r>
      <w:proofErr w:type="spellStart"/>
      <w:r w:rsidRPr="006E6279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Відомості</w:t>
      </w:r>
      <w:proofErr w:type="spellEnd"/>
      <w:r w:rsidRPr="006E6279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 xml:space="preserve"> </w:t>
      </w:r>
      <w:proofErr w:type="spellStart"/>
      <w:proofErr w:type="gramStart"/>
      <w:r w:rsidRPr="006E6279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Верховної</w:t>
      </w:r>
      <w:proofErr w:type="spellEnd"/>
      <w:proofErr w:type="gramEnd"/>
      <w:r w:rsidRPr="006E6279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 xml:space="preserve"> Ради </w:t>
      </w:r>
      <w:proofErr w:type="spellStart"/>
      <w:r w:rsidRPr="006E6279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України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, 35, 376.</w:t>
      </w:r>
      <w:r w:rsidR="00774FA2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="00774FA2" w:rsidRPr="00780786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>URL</w:t>
      </w:r>
      <w:r w:rsidR="00774FA2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:</w:t>
      </w:r>
      <w:r w:rsidR="00774FA2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hyperlink r:id="rId6" w:history="1">
        <w:r w:rsidR="00774FA2" w:rsidRPr="00A92170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/>
          </w:rPr>
          <w:t>https://zakon.rada.gov.ua/laws/show/2136-19#Text</w:t>
        </w:r>
      </w:hyperlink>
      <w:r w:rsidR="00774FA2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="00774FA2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(дата звернення: 14.02.2024).</w:t>
      </w:r>
    </w:p>
    <w:p w14:paraId="00000017" w14:textId="648AEF09" w:rsidR="00436C81" w:rsidRPr="00780786" w:rsidRDefault="00C70EA9" w:rsidP="006E6279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Індивідуальний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доступ до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конституційного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правосуддя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.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Переглянута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доповідь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прийнята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Венеціанською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комісією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11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грудня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2020 року на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її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125-й онлайн-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пленарній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сесії</w:t>
      </w:r>
      <w:proofErr w:type="spellEnd"/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.</w:t>
      </w:r>
      <w:r w:rsidR="00780786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="00780786" w:rsidRPr="00780786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>URL</w:t>
      </w:r>
      <w:r w:rsidR="00780786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: </w:t>
      </w:r>
      <w:hyperlink r:id="rId7" w:history="1"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pl-PL"/>
          </w:rPr>
          <w:t>https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pl-PL"/>
          </w:rPr>
          <w:t>www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pl-PL"/>
          </w:rPr>
          <w:t>venice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pl-PL"/>
          </w:rPr>
          <w:t>coe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pl-PL"/>
          </w:rPr>
          <w:t>int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pl-PL"/>
          </w:rPr>
          <w:t>webforms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pl-PL"/>
          </w:rPr>
          <w:t>documents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/?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pl-PL"/>
          </w:rPr>
          <w:t>pdf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=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pl-PL"/>
          </w:rPr>
          <w:t>CDL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pl-PL"/>
          </w:rPr>
          <w:t>AD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(2021)001-</w:t>
        </w:r>
        <w:r w:rsidR="00780786" w:rsidRPr="00780786">
          <w:rPr>
            <w:rStyle w:val="a5"/>
            <w:rFonts w:ascii="Times New Roman" w:eastAsia="Times New Roman" w:hAnsi="Times New Roman" w:cs="Times New Roman"/>
            <w:sz w:val="28"/>
            <w:szCs w:val="28"/>
            <w:lang w:val="pl-PL"/>
          </w:rPr>
          <w:t>e</w:t>
        </w:r>
      </w:hyperlink>
      <w:r w:rsidR="00780786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(дата звернення: 14.02.2024).</w:t>
      </w:r>
    </w:p>
    <w:p w14:paraId="00000018" w14:textId="7DA0AEF7" w:rsidR="00436C81" w:rsidRPr="006E6279" w:rsidRDefault="00C70EA9" w:rsidP="006E6279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Щорічна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інформаційна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доповідь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Конституційного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Суду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Затвер</w:t>
      </w:r>
      <w:r w:rsidRPr="006E6279">
        <w:rPr>
          <w:rFonts w:ascii="Times New Roman" w:eastAsia="Times New Roman" w:hAnsi="Times New Roman" w:cs="Times New Roman"/>
          <w:sz w:val="28"/>
          <w:szCs w:val="28"/>
        </w:rPr>
        <w:t>джено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Конституційного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Суду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червня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2023 року </w:t>
      </w:r>
      <w:r w:rsidR="00780786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lastRenderedPageBreak/>
        <w:t>№</w:t>
      </w:r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8-п/2023. URL: </w:t>
      </w:r>
      <w:hyperlink r:id="rId8" w:anchor="page/1"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https://heyzine.com/flip-book/1c6fea83f2.html#page/1</w:t>
        </w:r>
      </w:hyperlink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="00780786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(дата звернення: 14.02.2024)</w:t>
      </w:r>
      <w:r w:rsidRPr="006E6279">
        <w:rPr>
          <w:rFonts w:ascii="Times New Roman" w:eastAsia="Times New Roman" w:hAnsi="Times New Roman" w:cs="Times New Roman"/>
          <w:color w:val="202124"/>
          <w:sz w:val="28"/>
          <w:szCs w:val="28"/>
        </w:rPr>
        <w:t>.</w:t>
      </w:r>
    </w:p>
    <w:p w14:paraId="00000019" w14:textId="4DCD90EB" w:rsidR="00436C81" w:rsidRPr="006E6279" w:rsidRDefault="00C70EA9" w:rsidP="006E6279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Конституційного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Суду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Україн</w:t>
      </w:r>
      <w:r w:rsidRPr="006E627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червня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r w:rsidR="0078078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№</w:t>
      </w:r>
      <w:r w:rsidRPr="006E627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7-р/2019. </w:t>
      </w:r>
      <w:r w:rsidRPr="006E627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URL: </w:t>
      </w:r>
      <w:hyperlink r:id="rId9"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https://ips.ligazakon.net/document/KS19017?an=1</w:t>
        </w:r>
      </w:hyperlink>
      <w:r w:rsidR="007807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0786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(дата звернення: 14.02.2024).</w:t>
      </w:r>
    </w:p>
    <w:p w14:paraId="0000001A" w14:textId="20E0D2D7" w:rsidR="00436C81" w:rsidRPr="00780786" w:rsidRDefault="00C70EA9" w:rsidP="006E6279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Конституційного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Суду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жовтня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2022 № 7-р(ІІ)/2022. </w:t>
      </w:r>
      <w:r w:rsidRPr="006E6279">
        <w:rPr>
          <w:rFonts w:ascii="Times New Roman" w:eastAsia="Times New Roman" w:hAnsi="Times New Roman" w:cs="Times New Roman"/>
          <w:sz w:val="28"/>
          <w:szCs w:val="28"/>
          <w:lang w:val="pl-PL"/>
        </w:rPr>
        <w:t>URL</w:t>
      </w:r>
      <w:r w:rsidRPr="007807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10"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https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://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ccu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.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gov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.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ua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/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sites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/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default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/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files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/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docs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/7-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rii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2022_0.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pdf</w:t>
        </w:r>
      </w:hyperlink>
      <w:r w:rsidR="007807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0786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(дата звернення: 14.02.2024).</w:t>
      </w:r>
    </w:p>
    <w:p w14:paraId="0000001B" w14:textId="35DC34E6" w:rsidR="00436C81" w:rsidRPr="00780786" w:rsidRDefault="00C70EA9" w:rsidP="006E6279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Конституційного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Суду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proofErr w:type="spellStart"/>
      <w:r w:rsidRPr="006E6279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Pr="006E6279">
        <w:rPr>
          <w:rFonts w:ascii="Times New Roman" w:eastAsia="Times New Roman" w:hAnsi="Times New Roman" w:cs="Times New Roman"/>
          <w:sz w:val="28"/>
          <w:szCs w:val="28"/>
        </w:rPr>
        <w:t xml:space="preserve"> 2023 № 7-p(I)/2023. </w:t>
      </w:r>
      <w:r w:rsidRPr="006E6279">
        <w:rPr>
          <w:rFonts w:ascii="Times New Roman" w:eastAsia="Times New Roman" w:hAnsi="Times New Roman" w:cs="Times New Roman"/>
          <w:sz w:val="28"/>
          <w:szCs w:val="28"/>
          <w:lang w:val="pl-PL"/>
        </w:rPr>
        <w:t>URL</w:t>
      </w:r>
      <w:r w:rsidRPr="007807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11"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https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://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ccu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.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gov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.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ua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/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sites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/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default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/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files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/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docs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/7_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r</w:t>
        </w:r>
        <w:r w:rsidRPr="007807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_1_2023.</w:t>
        </w:r>
        <w:r w:rsidRPr="006E627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pl-PL"/>
          </w:rPr>
          <w:t>pdf</w:t>
        </w:r>
      </w:hyperlink>
      <w:r w:rsidR="007807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0786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(дата звернення: 14.02.2024).</w:t>
      </w:r>
    </w:p>
    <w:sectPr w:rsidR="00436C81" w:rsidRPr="00780786" w:rsidSect="006E6279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D5F8A"/>
    <w:multiLevelType w:val="multilevel"/>
    <w:tmpl w:val="F02A0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81"/>
    <w:rsid w:val="00436C81"/>
    <w:rsid w:val="006E6279"/>
    <w:rsid w:val="00751B9D"/>
    <w:rsid w:val="00774FA2"/>
    <w:rsid w:val="00780786"/>
    <w:rsid w:val="00C70EA9"/>
    <w:rsid w:val="00E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B7D797"/>
  <w15:docId w15:val="{C214496D-2452-2243-8F76-8A8E07A2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8078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74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yzine.com/flip-book/1c6fea83f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enice.coe.int/webforms/documents/?pdf=CDL-AD(2021)001-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36-19#Text" TargetMode="External"/><Relationship Id="rId11" Type="http://schemas.openxmlformats.org/officeDocument/2006/relationships/hyperlink" Target="https://ccu.gov.ua/sites/default/files/docs/7_r_1_2023.pdf" TargetMode="External"/><Relationship Id="rId5" Type="http://schemas.openxmlformats.org/officeDocument/2006/relationships/hyperlink" Target="https://doi.org/10.32366/2523-4269-2020-72-3-9-20" TargetMode="External"/><Relationship Id="rId10" Type="http://schemas.openxmlformats.org/officeDocument/2006/relationships/hyperlink" Target="https://ccu.gov.ua/sites/default/files/docs/7-rii2022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KS19017?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 Кристина</cp:lastModifiedBy>
  <cp:revision>2</cp:revision>
  <dcterms:created xsi:type="dcterms:W3CDTF">2024-03-09T23:44:00Z</dcterms:created>
  <dcterms:modified xsi:type="dcterms:W3CDTF">2024-03-09T23:44:00Z</dcterms:modified>
</cp:coreProperties>
</file>