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7984" w14:textId="6B012A2B" w:rsidR="00EB0E66" w:rsidRPr="00EB0E66" w:rsidRDefault="00EB0E66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</w:rPr>
      </w:pPr>
      <w:r w:rsidRPr="00EB0E66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</w:rPr>
        <w:t>Дарина Гринчак</w:t>
      </w:r>
    </w:p>
    <w:p w14:paraId="70FCBB4D" w14:textId="77777777" w:rsidR="00EB0E66" w:rsidRDefault="00EB0E66" w:rsidP="00A14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ru-RU"/>
        </w:rPr>
      </w:pPr>
    </w:p>
    <w:p w14:paraId="2796F14F" w14:textId="26BB90FC" w:rsidR="00913768" w:rsidRPr="00EB0E66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Верховний Суд України як гарант верховенства права в Україні</w:t>
      </w:r>
    </w:p>
    <w:p w14:paraId="04B5D39D" w14:textId="77777777" w:rsidR="00EB0E66" w:rsidRPr="00A140B7" w:rsidRDefault="00EB0E66" w:rsidP="00A14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ru-RU"/>
        </w:rPr>
      </w:pPr>
    </w:p>
    <w:p w14:paraId="64B433CC" w14:textId="75F5AC4E" w:rsidR="00913768" w:rsidRPr="00A140B7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Верховний Суд України є вищим органом судової влади в Україні, який забезпечує стабільність і єдність судової практики в порядку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визначен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ому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процесуальним закон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одавством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Це касаційна інстанція,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а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в окремих випадках – суд першої або апеляційної інстанції. Верховний Суд України є незалежним органом судової влади. Незалежність судової влади є однією із засад конституційного ладу України та верховенства права.</w:t>
      </w:r>
    </w:p>
    <w:p w14:paraId="7033F99D" w14:textId="4FEEEE6B" w:rsidR="00913768" w:rsidRPr="00A140B7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Судді Верховного Суду України є незалежними у своїй діяльності та зв</w:t>
      </w:r>
      <w:r w:rsidR="00EB0E66"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’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язані законом. Це означає, що на них не можуть впливати інші органи державної влади, політичні партії, підприємства чи інші особи.</w:t>
      </w:r>
    </w:p>
    <w:p w14:paraId="14FBFA71" w14:textId="77777777" w:rsidR="00913768" w:rsidRPr="00EB0E66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Незалежність Верховного Суду України забезпечується такими гарантіями:</w:t>
      </w:r>
    </w:p>
    <w:p w14:paraId="21C38503" w14:textId="3D2A688A" w:rsidR="00913768" w:rsidRPr="00EB0E66" w:rsidRDefault="00EB0E66" w:rsidP="00EB0E66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С</w:t>
      </w:r>
      <w:r w:rsidR="00913768"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уддів Верховного Суду України призначає Президент України за поданням Вищої кваліфікаційної комісії суддів України.</w:t>
      </w:r>
      <w:r w:rsidR="00913768"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Це означає, що Президент України не може безпосередньо призначати суддів Верховного Суду України. Відповідно до ст. 126 Конституції України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="00913768"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суддя обіймає посаду безстроково.</w:t>
      </w:r>
    </w:p>
    <w:p w14:paraId="64D29443" w14:textId="438025ED" w:rsidR="00913768" w:rsidRPr="00A140B7" w:rsidRDefault="00EB0E66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2.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С</w:t>
      </w:r>
      <w:r w:rsidR="00913768"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удді Верховного Суду України не можуть бути членами політичних партій, брати участь у політичній діяльності, займатися підприємницькою чи іншою оплачуваною роботою, крім викладацької, наукової чи творчої.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Це означає, що вони не можуть бути пов’язані з іншими державними органами чи політичними партіями.</w:t>
      </w:r>
    </w:p>
    <w:p w14:paraId="7D8EB5D0" w14:textId="2DC1D297" w:rsidR="00913768" w:rsidRPr="00A140B7" w:rsidRDefault="00EB0E66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3.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С</w:t>
      </w:r>
      <w:r w:rsidR="00913768"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удді Верховного Суду України мають суддівську недоторканність.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Відповідно до ст. 49 Закону України «Про судоустрій і статус суддів»</w:t>
      </w:r>
      <w:r w:rsidR="000C3A3B" w:rsidRPr="00567042"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суддю без згоди Вищої ради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правосуддя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 може бути затриман</w:t>
      </w:r>
      <w:r w:rsidR="007A733F">
        <w:rPr>
          <w:rFonts w:ascii="Times New Roman" w:hAnsi="Times New Roman" w:cs="Times New Roman"/>
          <w:kern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="007A733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або </w:t>
      </w:r>
      <w:r w:rsidR="0035562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суддя не може знаходитись 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під вартою чи арештом до постановлення обвинувального вироку. </w:t>
      </w:r>
      <w:r w:rsidR="00355620">
        <w:rPr>
          <w:rFonts w:ascii="Times New Roman" w:hAnsi="Times New Roman" w:cs="Times New Roman"/>
          <w:kern w:val="0"/>
          <w:sz w:val="28"/>
          <w:szCs w:val="28"/>
          <w:lang w:val="ru-RU"/>
        </w:rPr>
        <w:t>В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инят</w:t>
      </w:r>
      <w:r w:rsidR="00567042">
        <w:rPr>
          <w:rFonts w:ascii="Times New Roman" w:hAnsi="Times New Roman" w:cs="Times New Roman"/>
          <w:kern w:val="0"/>
          <w:sz w:val="28"/>
          <w:szCs w:val="28"/>
          <w:lang w:val="uk-UA"/>
        </w:rPr>
        <w:t>ком є</w:t>
      </w:r>
      <w:r w:rsidR="00913768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затримання судді під час або відразу після вчинення тяжкого чи особливо тяжкого злочину.</w:t>
      </w:r>
    </w:p>
    <w:p w14:paraId="66E1E6D8" w14:textId="69F6851E" w:rsidR="00913768" w:rsidRPr="00A140B7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Незалежність Верховного Суду України є важливою гарантією захисту прав і свобод людини в Україні, що також є основною метою верховенства права. </w:t>
      </w:r>
    </w:p>
    <w:p w14:paraId="0361D719" w14:textId="362CBC38" w:rsidR="00913768" w:rsidRPr="00A140B7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 1991 році, після проголошення незалежності України, Верховний Суд УРСР у складі УРСР було перейменовано на Верховний Суд України. </w:t>
      </w:r>
    </w:p>
    <w:p w14:paraId="5B857967" w14:textId="76606846" w:rsidR="00913768" w:rsidRPr="00EB0E66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 2016 році після прийняття змін до Конституції України та нового Закону України «Про судоустрій і статус суддів» було створено новий Верховний Суд як єдиний суд касаційної інстанції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у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системі судів загальної юрисдикції. Новий Верховний Суд України після реформування розпочав свою </w:t>
      </w:r>
      <w:r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діяльність у 2017 році.</w:t>
      </w:r>
    </w:p>
    <w:p w14:paraId="2A8F3B69" w14:textId="77777777" w:rsidR="00913768" w:rsidRPr="007843B6" w:rsidRDefault="00913768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Наразі до</w:t>
      </w:r>
      <w:r w:rsidRPr="007843B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 складу Верховного Суду України входять:</w:t>
      </w:r>
    </w:p>
    <w:p w14:paraId="0CDC9AC0" w14:textId="234285CB" w:rsidR="000D4DDE" w:rsidRPr="00A140B7" w:rsidRDefault="00913768" w:rsidP="00EB0E6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Велика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П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алата;</w:t>
      </w:r>
    </w:p>
    <w:p w14:paraId="6B6968A1" w14:textId="399E2468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2) Касаційний адміністративний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суд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14:paraId="45DFC7F2" w14:textId="665449DF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3)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К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асаційний господарський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суд;</w:t>
      </w:r>
    </w:p>
    <w:p w14:paraId="3506787D" w14:textId="14BF05AA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4) Касаційний кримінальний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суд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і </w:t>
      </w:r>
    </w:p>
    <w:p w14:paraId="54492AA0" w14:textId="330AB8B9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5) Касаційний цивільний 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суд.</w:t>
      </w:r>
    </w:p>
    <w:p w14:paraId="15F52673" w14:textId="18459DE4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До складу кожного касаційного суду входять судді відповідно</w:t>
      </w:r>
      <w:r w:rsid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ї спеціалізації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14:paraId="78D0D9F3" w14:textId="41C6F0E5" w:rsidR="00A140B7" w:rsidRPr="00EB0E66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843B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Отже, чому саме Верховний Суд України є гарантом верховенства права в Україні?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Важливу роль у захисті прав і свобод людини і громадянина, а також у забезпеченні верховенства права в Україні відіграє Верховний Суд України. </w:t>
      </w:r>
      <w:r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Його основні функції такі:</w:t>
      </w:r>
    </w:p>
    <w:p w14:paraId="7F4626C0" w14:textId="697B86A1" w:rsidR="00A140B7" w:rsidRPr="00A140B7" w:rsidRDefault="00EB0E66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1.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З</w:t>
      </w:r>
      <w:r w:rsidR="00A140B7" w:rsidRPr="00EB0E66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абезпечення стабільності та єдності судової практики.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Верховний Суд України розглядає касаційні скарги на рішення судів першої та апеляційної інстанцій. Рішення Верховного Суду є обов</w:t>
      </w:r>
      <w:r w:rsidRPr="00EB0E66">
        <w:rPr>
          <w:rFonts w:ascii="Times New Roman" w:hAnsi="Times New Roman" w:cs="Times New Roman"/>
          <w:kern w:val="0"/>
          <w:sz w:val="28"/>
          <w:szCs w:val="28"/>
          <w:lang w:val="ru-RU"/>
        </w:rPr>
        <w:t>’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язковими до виконання всіма судами України. Це забезпечує послідовність та єдність судової практики, а також запобігає винесенню суперечливих рішень різними судами.</w:t>
      </w:r>
    </w:p>
    <w:p w14:paraId="41498E1C" w14:textId="37200F47" w:rsidR="00A140B7" w:rsidRPr="00A140B7" w:rsidRDefault="003755D4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2.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3755D4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З</w:t>
      </w:r>
      <w:r w:rsidR="00A140B7" w:rsidRPr="003755D4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ахист прав і свобод людини і громадянина.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Верховний Суд України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розглядає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с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прави про порушення прав і свобод людини.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Відтак,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рішення Верховного Суду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мають ключове 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значення для захисту прав і свобод людини і громадянина в Україні.</w:t>
      </w:r>
    </w:p>
    <w:p w14:paraId="3DDD937A" w14:textId="67C77594" w:rsidR="00A140B7" w:rsidRPr="00A140B7" w:rsidRDefault="003755D4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3.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A140B7" w:rsidRPr="003755D4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Конституційний контроль. </w:t>
      </w:r>
      <w:r w:rsidR="00A140B7" w:rsidRP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Верховний Суд України вирішує питання про відповідність законів та інших правових актів Конституції України.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Це є важливою гарантією верховенства права, оскільки дозволяє унеможливити прийняття та застосування законів, що суперечать Конституції України.</w:t>
      </w:r>
    </w:p>
    <w:p w14:paraId="786F77D9" w14:textId="33088E92" w:rsidR="00A140B7" w:rsidRPr="003755D4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Згідно 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і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 європейськими та міжнародними стандартами 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й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правовою доктриною, принцип верховенства права включає такі </w:t>
      </w:r>
      <w:r w:rsidRPr="003755D4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вимоги</w:t>
      </w:r>
      <w:r w:rsidRP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як правова визначеність, законність, запобігання зловживанню владою, доступ до 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неупередженого та </w:t>
      </w:r>
      <w:r w:rsidRP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справедливого судо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чинства</w:t>
      </w:r>
      <w:r w:rsidRP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поділ влади, ефективне забезпечення та захист прав 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і свобод </w:t>
      </w:r>
      <w:r w:rsidRP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людини, рівність і відсутність дискримінації перед законом і судом тощо.</w:t>
      </w:r>
    </w:p>
    <w:p w14:paraId="6755B970" w14:textId="608BAD90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Звичайно, ці вимоги є досить </w:t>
      </w:r>
      <w:r w:rsidR="003755D4">
        <w:rPr>
          <w:rFonts w:ascii="Times New Roman" w:hAnsi="Times New Roman" w:cs="Times New Roman"/>
          <w:kern w:val="0"/>
          <w:sz w:val="28"/>
          <w:szCs w:val="28"/>
          <w:lang w:val="ru-RU"/>
        </w:rPr>
        <w:t>широкими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, тому потребують додаткового тлумачення з боку правоохоронних органів, насамперед, судів.</w:t>
      </w:r>
    </w:p>
    <w:p w14:paraId="55446EA8" w14:textId="767E3EB3" w:rsidR="00BC4C9B" w:rsidRDefault="003755D4" w:rsidP="00375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На основі проведеного аналізу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практики Верховного Суду України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його тлумачення та застосування принципу верховенства права,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можна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дій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ти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висновку, що, на жаль, </w:t>
      </w:r>
      <w:r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ця судова 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практика на даний момент не завжди є належним чином обґрунтован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ою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подекуди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непослідовн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ою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і навіть суперечлив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ою, а також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 завжди зрозуміл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ою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 точки зору належної аргументації застосування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певних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вимог верховенства права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у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конкретному випадку.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Принцип верховенства права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здебільшого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застосовується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у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цивільних справах.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Так, н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аведу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де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кілька прикладів із судової практики Верховного Суду. </w:t>
      </w:r>
    </w:p>
    <w:p w14:paraId="5EB7F665" w14:textId="01BDC6AD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 </w:t>
      </w:r>
      <w:r w:rsidRPr="0095267F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2021 році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Верховний Суд України рішенням у </w:t>
      </w:r>
      <w:r w:rsidRPr="0095267F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 xml:space="preserve">справі №910/15296/19 заборонив дискримінацію жінок у сфері праці.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Це рішення стало важливим кроком у забезпеченні рівних прав жінок і чоловіків в Україні.</w:t>
      </w:r>
    </w:p>
    <w:p w14:paraId="5C488E47" w14:textId="77777777" w:rsidR="0095267F" w:rsidRDefault="0095267F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Зокрема, у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цьому рішенні Верховний Суд України визнав, що дискримінація жінок у сфері праці є порушенням статті 24 Конституції України, яка гарантує рівність прав і свобод людини і громадянина незалежно від статі. Суд також зазначив, що дискримінація жінок у сфері праці є порушенням статті 14 Європейської конвенції з прав людини, яку ратифікувала Україна. </w:t>
      </w:r>
    </w:p>
    <w:p w14:paraId="231DE2DE" w14:textId="7F91C1F1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Таким чином, це рішення Верховного Суду є важливим для забезпечення рівних прав жінок і чоловіків в Україні. В</w:t>
      </w:r>
      <w:r w:rsidR="0095267F">
        <w:rPr>
          <w:rFonts w:ascii="Times New Roman" w:hAnsi="Times New Roman" w:cs="Times New Roman"/>
          <w:kern w:val="0"/>
          <w:sz w:val="28"/>
          <w:szCs w:val="28"/>
          <w:lang w:val="uk-UA"/>
        </w:rPr>
        <w:t>оно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забороняє дискримінацію жінок у сфері праці за ознакою статі, сімейного стану, віку, наявності дітей тощо. Це рішення також зобов’язує роботодавців забезпечувати рівне ставлення до жінок і чоловіків у сфері праці, незалежно від їх особистих характеристик. Рішення Верховного Суду України було позитивно сприйняте українським суспільством та неурядовими правозахисними організаціями. Це важливий крок до забезпечення рівних прав жінок і чоловіків в Україні.</w:t>
      </w:r>
    </w:p>
    <w:p w14:paraId="4C9531F8" w14:textId="0925FC7C" w:rsidR="00A140B7" w:rsidRPr="00A140B7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І, другий, не менш важливий приклад, у </w:t>
      </w:r>
      <w:r w:rsidRPr="0095267F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2022 році</w:t>
      </w:r>
      <w:r w:rsidRP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Верховний Суд України ухвалив </w:t>
      </w:r>
      <w:r w:rsidRPr="0095267F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>рішення у справі №9901/19/20, яким заборонив незаконне затримання та арешт громадян.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Це рішення стало важливою гарантією прав людини, зокрема, на свободу та особисту недоторканість. У цьому рішенні Верховний Суд України визнав, що незаконне затримання та арешт є порушенням статті 29 Конституції України, яка гарантує право на свободу та особисту недоторканість. Також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С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уд зазначив, що незаконне затримання та арешт є порушенням статті 5 Європейської конвенції з прав людини.</w:t>
      </w:r>
    </w:p>
    <w:p w14:paraId="4D4B8488" w14:textId="3928740C" w:rsidR="00DB4B9D" w:rsidRDefault="0095267F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Відтак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це рішення забороняє незаконне затримання та арешт громадян незалежно від підстав. Також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воно </w:t>
      </w:r>
      <w:r w:rsidR="00A140B7"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зобов’язує правоохоронні органи дотримуватись вимог законодавства при затриманні та арешті громадян.</w:t>
      </w:r>
    </w:p>
    <w:p w14:paraId="462A9F1E" w14:textId="79AA18DA" w:rsidR="00913768" w:rsidRPr="00DB4B9D" w:rsidRDefault="00A140B7" w:rsidP="00EB0E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Отже, дані рішення Верховного Суду України є прикладом того, як в Україні можна ефективно захищати права і свободи людини. Проте хочу наголосити, що все ж таки ми потребуємо розвитку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і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більш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послідовного та сталого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застосування принципу верховенства права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у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судовій практиці Верховного Суду України, оскільки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одним із важливих завдань Верховного Суду є, зокрема,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узагальнення судової практики та встановл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ення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так зван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их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зразк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ів</w:t>
      </w:r>
      <w:r w:rsidR="001C43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моделей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правильного розуміння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й, відповідно,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застосування права на практиці судами нижчих інстанцій,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що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також передбачає </w:t>
      </w:r>
      <w:r w:rsidR="00A8021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його 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однакове тлумачення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і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виконання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всіма державними органами та посадовими особами, що, у свою чергу, гарантує одну з основних вимог 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верховенства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права, а саме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правов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у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визначен</w:t>
      </w:r>
      <w:r w:rsidR="0095267F">
        <w:rPr>
          <w:rFonts w:ascii="Times New Roman" w:hAnsi="Times New Roman" w:cs="Times New Roman"/>
          <w:kern w:val="0"/>
          <w:sz w:val="28"/>
          <w:szCs w:val="28"/>
          <w:lang w:val="ru-RU"/>
        </w:rPr>
        <w:t>ість</w:t>
      </w:r>
      <w:r w:rsidRPr="00A140B7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14:paraId="7D9066E9" w14:textId="77777777" w:rsidR="000D4DDE" w:rsidRPr="00EB0E66" w:rsidRDefault="000D4DDE" w:rsidP="00454E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6591E2" w14:textId="5EC7F5A4" w:rsidR="00454EF8" w:rsidRDefault="00454EF8" w:rsidP="00454E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0E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  <w:r w:rsidR="00B92394" w:rsidRPr="00EB0E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використаних </w:t>
      </w:r>
      <w:r w:rsidRPr="00EB0E6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</w:t>
      </w:r>
      <w:r w:rsidR="00A8021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82781F9" w14:textId="5EB20ECA" w:rsidR="00A80214" w:rsidRDefault="00A80214" w:rsidP="00454E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EE3359" w14:textId="4235B3DF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>Ясинок Д.М. Судова правотворчість та її межі в цивільному судочинстві України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монографія. Київ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видавництво «Алерта», 2024. 226 с.</w:t>
      </w:r>
    </w:p>
    <w:p w14:paraId="21425A64" w14:textId="13F8108D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>Іншин М.І., Журавльов Д.В., Дрозд О.Ю., Чижмарь К.І.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Правові висновки Верховного суду в цивільному судочинстві після реформи правосуддя: Збірка статей. Київ: видавництво «ЦУЛ», 2020, 596 с.</w:t>
      </w:r>
    </w:p>
    <w:p w14:paraId="6537CCF8" w14:textId="6603057F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Про судоустрій і статус суддів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від 02.06.2016 р. №1402-</w:t>
      </w:r>
      <w:r w:rsidRPr="00A802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URL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https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zakon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rada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gov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ua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laws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show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/1402-19#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Text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14.02.2024).</w:t>
      </w:r>
    </w:p>
    <w:p w14:paraId="3228B99C" w14:textId="54CE34A9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від 28.06.1996 р. №254к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96-ВР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214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anchor="Text" w:history="1"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https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zakon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rada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gov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ua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laws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show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/254%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D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BA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/96-%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D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B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D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1%80#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Text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14.02.2024).</w:t>
      </w:r>
    </w:p>
    <w:p w14:paraId="55E0E25C" w14:textId="5EA1A730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Верховний суд України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ВікіпедіЯ.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Веб-сайт:</w:t>
      </w:r>
      <w:r w:rsidRPr="00A802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https://uk.m.wikipedi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.org/wiki/Верховний_Суд_України</w:t>
        </w:r>
      </w:hyperlink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14.02.2024).</w:t>
      </w:r>
    </w:p>
    <w:p w14:paraId="7B0B1D61" w14:textId="350BF97F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>Судова реформа в Україні: короткий огляд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Democracy Justice Reforms</w:t>
      </w:r>
      <w:r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Веб-сайт:</w:t>
      </w:r>
      <w:r w:rsidRPr="00A8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http://en.dejure.foundation/library/judicial-reform-in-ukraine-what-has-changed-for-the-last-three-years</w:t>
        </w:r>
      </w:hyperlink>
      <w:r w:rsidRPr="00A80214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14.02.2024).</w:t>
      </w:r>
    </w:p>
    <w:p w14:paraId="5579CB97" w14:textId="1B3BF445" w:rsidR="00A80214" w:rsidRPr="00A80214" w:rsidRDefault="00A80214" w:rsidP="00A802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4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 Верховний Суд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Судова влада України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Офіційний в</w:t>
      </w:r>
      <w:r w:rsidRPr="00A80214">
        <w:rPr>
          <w:rFonts w:ascii="Times New Roman" w:hAnsi="Times New Roman" w:cs="Times New Roman"/>
          <w:sz w:val="28"/>
          <w:szCs w:val="28"/>
          <w:lang w:val="uk-UA"/>
        </w:rPr>
        <w:t>еб-сайт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Верховного Суду України</w:t>
      </w:r>
      <w:r w:rsidRPr="00A80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supreme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court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supreme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sud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struktura</w:t>
        </w:r>
        <w:r w:rsidRPr="00A802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14.02.2024).</w:t>
      </w:r>
    </w:p>
    <w:p w14:paraId="22CE1470" w14:textId="56F2D884" w:rsidR="00A80214" w:rsidRPr="00A80214" w:rsidRDefault="00A80214" w:rsidP="00A8021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80DFFA" w14:textId="77777777" w:rsidR="00454EF8" w:rsidRPr="00A80214" w:rsidRDefault="00454EF8" w:rsidP="00454EF8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454EF8" w:rsidRPr="00A80214" w:rsidSect="00EB0E66"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22F"/>
    <w:multiLevelType w:val="hybridMultilevel"/>
    <w:tmpl w:val="0B2CEE9E"/>
    <w:lvl w:ilvl="0" w:tplc="AE0A54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E339E"/>
    <w:multiLevelType w:val="hybridMultilevel"/>
    <w:tmpl w:val="50B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1B9"/>
    <w:multiLevelType w:val="hybridMultilevel"/>
    <w:tmpl w:val="50B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6B78"/>
    <w:multiLevelType w:val="hybridMultilevel"/>
    <w:tmpl w:val="3B44F5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453D7D"/>
    <w:multiLevelType w:val="hybridMultilevel"/>
    <w:tmpl w:val="4BC4F394"/>
    <w:lvl w:ilvl="0" w:tplc="0BAAC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94BD7"/>
    <w:multiLevelType w:val="hybridMultilevel"/>
    <w:tmpl w:val="50B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F8"/>
    <w:rsid w:val="000350FB"/>
    <w:rsid w:val="000C3A3B"/>
    <w:rsid w:val="000D4DDE"/>
    <w:rsid w:val="0017477F"/>
    <w:rsid w:val="001C4306"/>
    <w:rsid w:val="002A5ABF"/>
    <w:rsid w:val="003150B8"/>
    <w:rsid w:val="00355620"/>
    <w:rsid w:val="003755D4"/>
    <w:rsid w:val="00454EF8"/>
    <w:rsid w:val="00567042"/>
    <w:rsid w:val="006F11C9"/>
    <w:rsid w:val="00753D7B"/>
    <w:rsid w:val="007843B6"/>
    <w:rsid w:val="00786054"/>
    <w:rsid w:val="007A4D31"/>
    <w:rsid w:val="007A733F"/>
    <w:rsid w:val="008A2F8D"/>
    <w:rsid w:val="008D0265"/>
    <w:rsid w:val="00913768"/>
    <w:rsid w:val="0095267F"/>
    <w:rsid w:val="009C222D"/>
    <w:rsid w:val="00A140B7"/>
    <w:rsid w:val="00A62527"/>
    <w:rsid w:val="00A71897"/>
    <w:rsid w:val="00A80214"/>
    <w:rsid w:val="00B92394"/>
    <w:rsid w:val="00BC4C9B"/>
    <w:rsid w:val="00C22C81"/>
    <w:rsid w:val="00DB4B9D"/>
    <w:rsid w:val="00DC6BA8"/>
    <w:rsid w:val="00EB0E66"/>
    <w:rsid w:val="00EC1BC2"/>
    <w:rsid w:val="00F26A80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AEA"/>
  <w15:chartTrackingRefBased/>
  <w15:docId w15:val="{CDD1018A-A8CF-0443-B528-6F51060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3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23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A03B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m.wikipedia.org/wiki/&#1042;&#1077;&#1088;&#1093;&#1086;&#1074;&#1085;&#1080;&#1081;_&#1057;&#1091;&#1076;_&#1059;&#1082;&#1088;&#1072;&#1111;&#108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kristina/Downloads/%20https:/zakon.rada.gov.ua/laws/show/140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reme.court.gov.ua/supreme/pro_sud/struk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dejure.foundation/library/judicial-reform-in-ukraine-what-has-changed-for-the-last-three-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B112F-AF31-6048-ABC2-0C451277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grinchak darina</dc:creator>
  <cp:keywords/>
  <dc:description/>
  <cp:lastModifiedBy>Кристина Кристина</cp:lastModifiedBy>
  <cp:revision>2</cp:revision>
  <dcterms:created xsi:type="dcterms:W3CDTF">2024-03-09T20:31:00Z</dcterms:created>
  <dcterms:modified xsi:type="dcterms:W3CDTF">2024-03-09T20:31:00Z</dcterms:modified>
</cp:coreProperties>
</file>