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D182" w14:textId="7EB1DFAD" w:rsidR="00061A9A" w:rsidRDefault="00061A9A" w:rsidP="00DE04F4">
      <w:pPr>
        <w:spacing w:after="0" w:line="360" w:lineRule="auto"/>
        <w:jc w:val="both"/>
        <w:rPr>
          <w:rFonts w:asciiTheme="majorBidi" w:hAnsiTheme="majorBidi" w:cstheme="majorBidi"/>
          <w:b/>
          <w:bCs/>
          <w:sz w:val="24"/>
          <w:szCs w:val="24"/>
          <w:lang w:val="en-US"/>
        </w:rPr>
      </w:pPr>
      <w:r w:rsidRPr="00061A9A">
        <w:rPr>
          <w:rFonts w:asciiTheme="majorBidi" w:hAnsiTheme="majorBidi" w:cstheme="majorBidi"/>
          <w:b/>
          <w:bCs/>
          <w:sz w:val="24"/>
          <w:szCs w:val="24"/>
          <w:lang w:val="en-US"/>
        </w:rPr>
        <w:t xml:space="preserve">Disciplinary proceedings against judges in the light of the latest amendments </w:t>
      </w:r>
      <w:r w:rsidR="009E3BDE">
        <w:rPr>
          <w:rFonts w:asciiTheme="majorBidi" w:hAnsiTheme="majorBidi" w:cstheme="majorBidi"/>
          <w:b/>
          <w:bCs/>
          <w:sz w:val="24"/>
          <w:szCs w:val="24"/>
          <w:lang w:val="en-US"/>
        </w:rPr>
        <w:t>to</w:t>
      </w:r>
      <w:r w:rsidR="009E3BDE" w:rsidRPr="00061A9A">
        <w:rPr>
          <w:rFonts w:asciiTheme="majorBidi" w:hAnsiTheme="majorBidi" w:cstheme="majorBidi"/>
          <w:b/>
          <w:bCs/>
          <w:sz w:val="24"/>
          <w:szCs w:val="24"/>
          <w:lang w:val="en-US"/>
        </w:rPr>
        <w:t xml:space="preserve"> </w:t>
      </w:r>
      <w:r w:rsidRPr="00061A9A">
        <w:rPr>
          <w:rFonts w:asciiTheme="majorBidi" w:hAnsiTheme="majorBidi" w:cstheme="majorBidi"/>
          <w:b/>
          <w:bCs/>
          <w:sz w:val="24"/>
          <w:szCs w:val="24"/>
          <w:lang w:val="en-US"/>
        </w:rPr>
        <w:t xml:space="preserve">the Supreme Court </w:t>
      </w:r>
      <w:r w:rsidR="008770B3">
        <w:rPr>
          <w:rFonts w:asciiTheme="majorBidi" w:hAnsiTheme="majorBidi" w:cstheme="majorBidi"/>
          <w:b/>
          <w:bCs/>
          <w:sz w:val="24"/>
          <w:szCs w:val="24"/>
          <w:lang w:val="en-US"/>
        </w:rPr>
        <w:t>a</w:t>
      </w:r>
      <w:r w:rsidRPr="00061A9A">
        <w:rPr>
          <w:rFonts w:asciiTheme="majorBidi" w:hAnsiTheme="majorBidi" w:cstheme="majorBidi"/>
          <w:b/>
          <w:bCs/>
          <w:sz w:val="24"/>
          <w:szCs w:val="24"/>
          <w:lang w:val="en-US"/>
        </w:rPr>
        <w:t>ct.</w:t>
      </w:r>
    </w:p>
    <w:p w14:paraId="4B797DFF" w14:textId="77777777" w:rsidR="00331FD7" w:rsidRDefault="00331FD7" w:rsidP="00DE04F4">
      <w:pPr>
        <w:spacing w:after="0" w:line="360" w:lineRule="auto"/>
        <w:jc w:val="both"/>
        <w:rPr>
          <w:rFonts w:asciiTheme="majorBidi" w:hAnsiTheme="majorBidi" w:cstheme="majorBidi"/>
          <w:b/>
          <w:bCs/>
          <w:sz w:val="24"/>
          <w:szCs w:val="24"/>
          <w:lang w:val="en-US"/>
        </w:rPr>
      </w:pPr>
    </w:p>
    <w:p w14:paraId="49A0B902" w14:textId="7B7CC986" w:rsidR="00331FD7" w:rsidRPr="00061A9A" w:rsidRDefault="00331FD7" w:rsidP="00DE04F4">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Natalia Hanusek</w:t>
      </w:r>
    </w:p>
    <w:p w14:paraId="3514E2B6" w14:textId="77777777" w:rsidR="00061A9A" w:rsidRDefault="00061A9A" w:rsidP="00DE04F4">
      <w:pPr>
        <w:spacing w:after="0" w:line="360" w:lineRule="auto"/>
        <w:ind w:firstLine="708"/>
        <w:jc w:val="both"/>
        <w:rPr>
          <w:rFonts w:asciiTheme="majorBidi" w:hAnsiTheme="majorBidi" w:cstheme="majorBidi"/>
          <w:sz w:val="24"/>
          <w:szCs w:val="24"/>
          <w:lang w:val="en-US"/>
        </w:rPr>
      </w:pPr>
    </w:p>
    <w:p w14:paraId="7103CC6D" w14:textId="52555C3F" w:rsidR="00340415" w:rsidRDefault="0066071A" w:rsidP="00DE04F4">
      <w:pPr>
        <w:spacing w:after="0"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Since</w:t>
      </w:r>
      <w:r w:rsidR="00340415" w:rsidRPr="00340415">
        <w:rPr>
          <w:rFonts w:asciiTheme="majorBidi" w:hAnsiTheme="majorBidi" w:cstheme="majorBidi"/>
          <w:sz w:val="24"/>
          <w:szCs w:val="24"/>
          <w:lang w:val="en-US"/>
        </w:rPr>
        <w:t xml:space="preserve"> 2015, there were significant changes in the law in Poland, including the </w:t>
      </w:r>
      <w:r w:rsidR="00340415">
        <w:rPr>
          <w:rFonts w:asciiTheme="majorBidi" w:hAnsiTheme="majorBidi" w:cstheme="majorBidi"/>
          <w:sz w:val="24"/>
          <w:szCs w:val="24"/>
          <w:lang w:val="en-US"/>
        </w:rPr>
        <w:t>justice system</w:t>
      </w:r>
      <w:r w:rsidR="00340415" w:rsidRPr="00340415">
        <w:rPr>
          <w:rFonts w:asciiTheme="majorBidi" w:hAnsiTheme="majorBidi" w:cstheme="majorBidi"/>
          <w:sz w:val="24"/>
          <w:szCs w:val="24"/>
          <w:lang w:val="en-US"/>
        </w:rPr>
        <w:t xml:space="preserve">. This legislative activity was undertaken by the previous ruling party (Law and Justice). The described phenomenon was </w:t>
      </w:r>
      <w:r w:rsidR="001D313D">
        <w:rPr>
          <w:rFonts w:asciiTheme="majorBidi" w:hAnsiTheme="majorBidi" w:cstheme="majorBidi"/>
          <w:sz w:val="24"/>
          <w:szCs w:val="24"/>
          <w:lang w:val="en-US"/>
        </w:rPr>
        <w:t>rated</w:t>
      </w:r>
      <w:r w:rsidR="00340415" w:rsidRPr="00340415">
        <w:rPr>
          <w:rFonts w:asciiTheme="majorBidi" w:hAnsiTheme="majorBidi" w:cstheme="majorBidi"/>
          <w:sz w:val="24"/>
          <w:szCs w:val="24"/>
          <w:lang w:val="en-US"/>
        </w:rPr>
        <w:t xml:space="preserve"> negatively by the legal community, as undermining the independence of public institutions an</w:t>
      </w:r>
      <w:r w:rsidR="00340415">
        <w:rPr>
          <w:rFonts w:asciiTheme="majorBidi" w:hAnsiTheme="majorBidi" w:cstheme="majorBidi"/>
          <w:sz w:val="24"/>
          <w:szCs w:val="24"/>
          <w:lang w:val="en-US"/>
        </w:rPr>
        <w:t xml:space="preserve">d </w:t>
      </w:r>
      <w:r w:rsidR="00340415" w:rsidRPr="00340415">
        <w:rPr>
          <w:rFonts w:asciiTheme="majorBidi" w:hAnsiTheme="majorBidi" w:cstheme="majorBidi"/>
          <w:sz w:val="24"/>
          <w:szCs w:val="24"/>
          <w:lang w:val="en-US"/>
        </w:rPr>
        <w:t xml:space="preserve">causing their politicization. </w:t>
      </w:r>
      <w:r w:rsidR="00DE04F4">
        <w:rPr>
          <w:rFonts w:asciiTheme="majorBidi" w:hAnsiTheme="majorBidi" w:cstheme="majorBidi"/>
          <w:sz w:val="24"/>
          <w:szCs w:val="24"/>
          <w:lang w:val="en-US"/>
        </w:rPr>
        <w:t>Additionally</w:t>
      </w:r>
      <w:r w:rsidR="00D35E97">
        <w:rPr>
          <w:rFonts w:asciiTheme="majorBidi" w:hAnsiTheme="majorBidi" w:cstheme="majorBidi"/>
          <w:sz w:val="24"/>
          <w:szCs w:val="24"/>
          <w:lang w:val="en-US"/>
        </w:rPr>
        <w:t>,</w:t>
      </w:r>
      <w:r w:rsidR="00340415" w:rsidRPr="00340415">
        <w:rPr>
          <w:rFonts w:asciiTheme="majorBidi" w:hAnsiTheme="majorBidi" w:cstheme="majorBidi"/>
          <w:sz w:val="24"/>
          <w:szCs w:val="24"/>
          <w:lang w:val="en-US"/>
        </w:rPr>
        <w:t xml:space="preserve"> </w:t>
      </w:r>
      <w:r w:rsidR="001F5D16" w:rsidRPr="00340415">
        <w:rPr>
          <w:rFonts w:asciiTheme="majorBidi" w:hAnsiTheme="majorBidi" w:cstheme="majorBidi"/>
          <w:sz w:val="24"/>
          <w:szCs w:val="24"/>
          <w:lang w:val="en-US"/>
        </w:rPr>
        <w:t xml:space="preserve">transnational </w:t>
      </w:r>
      <w:r w:rsidR="00340415" w:rsidRPr="00340415">
        <w:rPr>
          <w:rFonts w:asciiTheme="majorBidi" w:hAnsiTheme="majorBidi" w:cstheme="majorBidi"/>
          <w:sz w:val="24"/>
          <w:szCs w:val="24"/>
          <w:lang w:val="en-US"/>
        </w:rPr>
        <w:t xml:space="preserve">institutions, especially the Court of Justice of the European Union, </w:t>
      </w:r>
      <w:r w:rsidR="001F5D16">
        <w:rPr>
          <w:rFonts w:asciiTheme="majorBidi" w:hAnsiTheme="majorBidi" w:cstheme="majorBidi"/>
          <w:sz w:val="24"/>
          <w:szCs w:val="24"/>
          <w:lang w:val="en-US"/>
        </w:rPr>
        <w:t xml:space="preserve">have </w:t>
      </w:r>
      <w:r w:rsidR="00DD0DC8">
        <w:rPr>
          <w:rFonts w:asciiTheme="majorBidi" w:hAnsiTheme="majorBidi" w:cstheme="majorBidi"/>
          <w:sz w:val="24"/>
          <w:szCs w:val="24"/>
          <w:lang w:val="en-US"/>
        </w:rPr>
        <w:t>identified</w:t>
      </w:r>
      <w:r w:rsidR="001F5D16">
        <w:rPr>
          <w:rFonts w:asciiTheme="majorBidi" w:hAnsiTheme="majorBidi" w:cstheme="majorBidi"/>
          <w:sz w:val="24"/>
          <w:szCs w:val="24"/>
          <w:lang w:val="en-US"/>
        </w:rPr>
        <w:t xml:space="preserve"> breaches</w:t>
      </w:r>
      <w:r w:rsidR="001F5D16" w:rsidRPr="00340415">
        <w:rPr>
          <w:rFonts w:asciiTheme="majorBidi" w:hAnsiTheme="majorBidi" w:cstheme="majorBidi"/>
          <w:sz w:val="24"/>
          <w:szCs w:val="24"/>
          <w:lang w:val="en-US"/>
        </w:rPr>
        <w:t xml:space="preserve"> </w:t>
      </w:r>
      <w:r w:rsidR="00340415" w:rsidRPr="00340415">
        <w:rPr>
          <w:rFonts w:asciiTheme="majorBidi" w:hAnsiTheme="majorBidi" w:cstheme="majorBidi"/>
          <w:sz w:val="24"/>
          <w:szCs w:val="24"/>
          <w:lang w:val="en-US"/>
        </w:rPr>
        <w:t xml:space="preserve">of the principles of the democratic state </w:t>
      </w:r>
      <w:r w:rsidR="008A5D31">
        <w:rPr>
          <w:rFonts w:asciiTheme="majorBidi" w:hAnsiTheme="majorBidi" w:cstheme="majorBidi"/>
          <w:sz w:val="24"/>
          <w:szCs w:val="24"/>
          <w:lang w:val="en-US"/>
        </w:rPr>
        <w:t>ruled by</w:t>
      </w:r>
      <w:r w:rsidR="008A5D31" w:rsidRPr="00340415">
        <w:rPr>
          <w:rFonts w:asciiTheme="majorBidi" w:hAnsiTheme="majorBidi" w:cstheme="majorBidi"/>
          <w:sz w:val="24"/>
          <w:szCs w:val="24"/>
          <w:lang w:val="en-US"/>
        </w:rPr>
        <w:t xml:space="preserve"> </w:t>
      </w:r>
      <w:r w:rsidR="00340415" w:rsidRPr="00340415">
        <w:rPr>
          <w:rFonts w:asciiTheme="majorBidi" w:hAnsiTheme="majorBidi" w:cstheme="majorBidi"/>
          <w:sz w:val="24"/>
          <w:szCs w:val="24"/>
          <w:lang w:val="en-US"/>
        </w:rPr>
        <w:t>law</w:t>
      </w:r>
      <w:r w:rsidR="00B118FD">
        <w:rPr>
          <w:rStyle w:val="Odwoanieprzypisudolnego"/>
          <w:rFonts w:asciiTheme="majorBidi" w:hAnsiTheme="majorBidi" w:cstheme="majorBidi"/>
          <w:sz w:val="24"/>
          <w:szCs w:val="24"/>
          <w:lang w:val="en-US"/>
        </w:rPr>
        <w:footnoteReference w:id="1"/>
      </w:r>
      <w:r w:rsidR="00340415" w:rsidRPr="00340415">
        <w:rPr>
          <w:rFonts w:asciiTheme="majorBidi" w:hAnsiTheme="majorBidi" w:cstheme="majorBidi"/>
          <w:sz w:val="24"/>
          <w:szCs w:val="24"/>
          <w:lang w:val="en-US"/>
        </w:rPr>
        <w:t xml:space="preserve">.  In 2018, as part of successive amendments, there was a revolution in the system of disciplinary responsibility of judges. It is related, among other things, to changes in the </w:t>
      </w:r>
      <w:r w:rsidR="00B7375D">
        <w:rPr>
          <w:rFonts w:asciiTheme="majorBidi" w:hAnsiTheme="majorBidi" w:cstheme="majorBidi"/>
          <w:sz w:val="24"/>
          <w:szCs w:val="24"/>
          <w:lang w:val="en-US"/>
        </w:rPr>
        <w:t>a</w:t>
      </w:r>
      <w:r w:rsidR="00114FE4">
        <w:rPr>
          <w:rFonts w:asciiTheme="majorBidi" w:hAnsiTheme="majorBidi" w:cstheme="majorBidi"/>
          <w:sz w:val="24"/>
          <w:szCs w:val="24"/>
          <w:lang w:val="en-US"/>
        </w:rPr>
        <w:t>ct</w:t>
      </w:r>
      <w:r w:rsidR="00114FE4" w:rsidRPr="00340415">
        <w:rPr>
          <w:rFonts w:asciiTheme="majorBidi" w:hAnsiTheme="majorBidi" w:cstheme="majorBidi"/>
          <w:sz w:val="24"/>
          <w:szCs w:val="24"/>
          <w:lang w:val="en-US"/>
        </w:rPr>
        <w:t xml:space="preserve"> </w:t>
      </w:r>
      <w:r w:rsidR="00340415" w:rsidRPr="00340415">
        <w:rPr>
          <w:rFonts w:asciiTheme="majorBidi" w:hAnsiTheme="majorBidi" w:cstheme="majorBidi"/>
          <w:sz w:val="24"/>
          <w:szCs w:val="24"/>
          <w:lang w:val="en-US"/>
        </w:rPr>
        <w:t>on the Supreme Court</w:t>
      </w:r>
      <w:r w:rsidR="00B118FD">
        <w:rPr>
          <w:rStyle w:val="Odwoanieprzypisudolnego"/>
          <w:rFonts w:asciiTheme="majorBidi" w:hAnsiTheme="majorBidi" w:cstheme="majorBidi"/>
          <w:sz w:val="24"/>
          <w:szCs w:val="24"/>
          <w:lang w:val="en-US"/>
        </w:rPr>
        <w:footnoteReference w:id="2"/>
      </w:r>
      <w:r w:rsidR="00340415" w:rsidRPr="00340415">
        <w:rPr>
          <w:rFonts w:asciiTheme="majorBidi" w:hAnsiTheme="majorBidi" w:cstheme="majorBidi"/>
          <w:sz w:val="24"/>
          <w:szCs w:val="24"/>
          <w:lang w:val="en-US"/>
        </w:rPr>
        <w:t xml:space="preserve">. </w:t>
      </w:r>
      <w:r w:rsidR="00AE159D">
        <w:rPr>
          <w:rFonts w:asciiTheme="majorBidi" w:hAnsiTheme="majorBidi" w:cstheme="majorBidi"/>
          <w:sz w:val="24"/>
          <w:szCs w:val="24"/>
          <w:lang w:val="en-US"/>
        </w:rPr>
        <w:t>In order</w:t>
      </w:r>
      <w:r w:rsidR="00340415" w:rsidRPr="00340415">
        <w:rPr>
          <w:rFonts w:asciiTheme="majorBidi" w:hAnsiTheme="majorBidi" w:cstheme="majorBidi"/>
          <w:sz w:val="24"/>
          <w:szCs w:val="24"/>
          <w:lang w:val="en-US"/>
        </w:rPr>
        <w:t xml:space="preserve"> to outline the most important issues, it is necessary to introduce the previous shape of the disciplinary procedure.</w:t>
      </w:r>
    </w:p>
    <w:p w14:paraId="77385128" w14:textId="5AA1B1EA" w:rsidR="00785B09" w:rsidRPr="00785B09" w:rsidRDefault="005A1820" w:rsidP="00DE04F4">
      <w:pPr>
        <w:spacing w:after="0"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D</w:t>
      </w:r>
      <w:r w:rsidR="00785B09" w:rsidRPr="00785B09">
        <w:rPr>
          <w:rFonts w:asciiTheme="majorBidi" w:hAnsiTheme="majorBidi" w:cstheme="majorBidi"/>
          <w:sz w:val="24"/>
          <w:szCs w:val="24"/>
          <w:lang w:val="en-US"/>
        </w:rPr>
        <w:t>isciplinary proceedings against judges are based on the scheme of criminal procedure</w:t>
      </w:r>
      <w:r>
        <w:rPr>
          <w:rFonts w:asciiTheme="majorBidi" w:hAnsiTheme="majorBidi" w:cstheme="majorBidi"/>
          <w:sz w:val="24"/>
          <w:szCs w:val="24"/>
          <w:lang w:val="en-US"/>
        </w:rPr>
        <w:t xml:space="preserve"> in Poland</w:t>
      </w:r>
      <w:r w:rsidR="00785B09" w:rsidRPr="00785B09">
        <w:rPr>
          <w:rFonts w:asciiTheme="majorBidi" w:hAnsiTheme="majorBidi" w:cstheme="majorBidi"/>
          <w:sz w:val="24"/>
          <w:szCs w:val="24"/>
          <w:lang w:val="en-US"/>
        </w:rPr>
        <w:t xml:space="preserve">. </w:t>
      </w:r>
      <w:r w:rsidR="004144FB">
        <w:rPr>
          <w:rFonts w:asciiTheme="majorBidi" w:hAnsiTheme="majorBidi" w:cstheme="majorBidi"/>
          <w:sz w:val="24"/>
          <w:szCs w:val="24"/>
          <w:lang w:val="en-US"/>
        </w:rPr>
        <w:t>T</w:t>
      </w:r>
      <w:r w:rsidR="00785B09" w:rsidRPr="00785B09">
        <w:rPr>
          <w:rFonts w:asciiTheme="majorBidi" w:hAnsiTheme="majorBidi" w:cstheme="majorBidi"/>
          <w:sz w:val="24"/>
          <w:szCs w:val="24"/>
          <w:lang w:val="en-US"/>
        </w:rPr>
        <w:t>herefore</w:t>
      </w:r>
      <w:r w:rsidR="004144FB">
        <w:rPr>
          <w:rFonts w:asciiTheme="majorBidi" w:hAnsiTheme="majorBidi" w:cstheme="majorBidi"/>
          <w:sz w:val="24"/>
          <w:szCs w:val="24"/>
          <w:lang w:val="en-US"/>
        </w:rPr>
        <w:t>,</w:t>
      </w:r>
      <w:r w:rsidR="00785B09" w:rsidRPr="00785B09">
        <w:rPr>
          <w:rFonts w:asciiTheme="majorBidi" w:hAnsiTheme="majorBidi" w:cstheme="majorBidi"/>
          <w:sz w:val="24"/>
          <w:szCs w:val="24"/>
          <w:lang w:val="en-US"/>
        </w:rPr>
        <w:t xml:space="preserve"> </w:t>
      </w:r>
      <w:r w:rsidR="004144FB">
        <w:rPr>
          <w:rFonts w:asciiTheme="majorBidi" w:hAnsiTheme="majorBidi" w:cstheme="majorBidi"/>
          <w:sz w:val="24"/>
          <w:szCs w:val="24"/>
          <w:lang w:val="en-US"/>
        </w:rPr>
        <w:t>i</w:t>
      </w:r>
      <w:r w:rsidR="004144FB" w:rsidRPr="00785B09">
        <w:rPr>
          <w:rFonts w:asciiTheme="majorBidi" w:hAnsiTheme="majorBidi" w:cstheme="majorBidi"/>
          <w:sz w:val="24"/>
          <w:szCs w:val="24"/>
          <w:lang w:val="en-US"/>
        </w:rPr>
        <w:t xml:space="preserve">t is </w:t>
      </w:r>
      <w:r w:rsidR="00785B09" w:rsidRPr="00785B09">
        <w:rPr>
          <w:rFonts w:asciiTheme="majorBidi" w:hAnsiTheme="majorBidi" w:cstheme="majorBidi"/>
          <w:sz w:val="24"/>
          <w:szCs w:val="24"/>
          <w:lang w:val="en-US"/>
        </w:rPr>
        <w:t xml:space="preserve">necessary to maintain appropriate guarantee mechanisms for the accused. The basic law in the described matter is the </w:t>
      </w:r>
      <w:r w:rsidR="00B7375D">
        <w:rPr>
          <w:rFonts w:asciiTheme="majorBidi" w:hAnsiTheme="majorBidi" w:cstheme="majorBidi"/>
          <w:sz w:val="24"/>
          <w:szCs w:val="24"/>
          <w:lang w:val="en-US"/>
        </w:rPr>
        <w:t>a</w:t>
      </w:r>
      <w:r w:rsidR="00174145">
        <w:rPr>
          <w:rFonts w:asciiTheme="majorBidi" w:hAnsiTheme="majorBidi" w:cstheme="majorBidi"/>
          <w:sz w:val="24"/>
          <w:szCs w:val="24"/>
          <w:lang w:val="en-US"/>
        </w:rPr>
        <w:t>ct</w:t>
      </w:r>
      <w:r w:rsidR="00174145" w:rsidRPr="00785B09">
        <w:rPr>
          <w:rFonts w:asciiTheme="majorBidi" w:hAnsiTheme="majorBidi" w:cstheme="majorBidi"/>
          <w:sz w:val="24"/>
          <w:szCs w:val="24"/>
          <w:lang w:val="en-US"/>
        </w:rPr>
        <w:t xml:space="preserve"> </w:t>
      </w:r>
      <w:r w:rsidR="00785B09" w:rsidRPr="00785B09">
        <w:rPr>
          <w:rFonts w:asciiTheme="majorBidi" w:hAnsiTheme="majorBidi" w:cstheme="majorBidi"/>
          <w:sz w:val="24"/>
          <w:szCs w:val="24"/>
          <w:lang w:val="en-US"/>
        </w:rPr>
        <w:t xml:space="preserve">on the </w:t>
      </w:r>
      <w:r w:rsidR="00B7375D">
        <w:rPr>
          <w:rFonts w:asciiTheme="majorBidi" w:hAnsiTheme="majorBidi" w:cstheme="majorBidi"/>
          <w:sz w:val="24"/>
          <w:szCs w:val="24"/>
          <w:lang w:val="en-US"/>
        </w:rPr>
        <w:t>s</w:t>
      </w:r>
      <w:r w:rsidR="00785B09" w:rsidRPr="00785B09">
        <w:rPr>
          <w:rFonts w:asciiTheme="majorBidi" w:hAnsiTheme="majorBidi" w:cstheme="majorBidi"/>
          <w:sz w:val="24"/>
          <w:szCs w:val="24"/>
          <w:lang w:val="en-US"/>
        </w:rPr>
        <w:t xml:space="preserve">ystem of </w:t>
      </w:r>
      <w:r w:rsidR="00B7375D">
        <w:rPr>
          <w:rFonts w:asciiTheme="majorBidi" w:hAnsiTheme="majorBidi" w:cstheme="majorBidi"/>
          <w:sz w:val="24"/>
          <w:szCs w:val="24"/>
          <w:lang w:val="en-US"/>
        </w:rPr>
        <w:t>c</w:t>
      </w:r>
      <w:r w:rsidR="00785B09" w:rsidRPr="00785B09">
        <w:rPr>
          <w:rFonts w:asciiTheme="majorBidi" w:hAnsiTheme="majorBidi" w:cstheme="majorBidi"/>
          <w:sz w:val="24"/>
          <w:szCs w:val="24"/>
          <w:lang w:val="en-US"/>
        </w:rPr>
        <w:t xml:space="preserve">ommon </w:t>
      </w:r>
      <w:r w:rsidR="00B7375D">
        <w:rPr>
          <w:rFonts w:asciiTheme="majorBidi" w:hAnsiTheme="majorBidi" w:cstheme="majorBidi"/>
          <w:sz w:val="24"/>
          <w:szCs w:val="24"/>
          <w:lang w:val="en-US"/>
        </w:rPr>
        <w:t>c</w:t>
      </w:r>
      <w:r w:rsidR="00785B09" w:rsidRPr="00785B09">
        <w:rPr>
          <w:rFonts w:asciiTheme="majorBidi" w:hAnsiTheme="majorBidi" w:cstheme="majorBidi"/>
          <w:sz w:val="24"/>
          <w:szCs w:val="24"/>
          <w:lang w:val="en-US"/>
        </w:rPr>
        <w:t>ourts</w:t>
      </w:r>
      <w:r w:rsidR="00782E80">
        <w:rPr>
          <w:rStyle w:val="Odwoanieprzypisudolnego"/>
          <w:rFonts w:asciiTheme="majorBidi" w:hAnsiTheme="majorBidi" w:cstheme="majorBidi"/>
          <w:sz w:val="24"/>
          <w:szCs w:val="24"/>
          <w:lang w:val="en-US"/>
        </w:rPr>
        <w:footnoteReference w:id="3"/>
      </w:r>
      <w:r w:rsidR="00785B09" w:rsidRPr="00785B09">
        <w:rPr>
          <w:rFonts w:asciiTheme="majorBidi" w:hAnsiTheme="majorBidi" w:cstheme="majorBidi"/>
          <w:sz w:val="24"/>
          <w:szCs w:val="24"/>
          <w:lang w:val="en-US"/>
        </w:rPr>
        <w:t>, which introduced a fundamental structure for the adjudication of disciplinary cases of judges of common courts</w:t>
      </w:r>
      <w:r w:rsidR="00373077" w:rsidRPr="00373077">
        <w:rPr>
          <w:rFonts w:asciiTheme="majorBidi" w:hAnsiTheme="majorBidi" w:cstheme="majorBidi"/>
          <w:sz w:val="24"/>
          <w:szCs w:val="24"/>
          <w:lang w:val="en-US"/>
        </w:rPr>
        <w:t xml:space="preserve"> </w:t>
      </w:r>
      <w:r w:rsidR="00373077" w:rsidRPr="00785B09">
        <w:rPr>
          <w:rFonts w:asciiTheme="majorBidi" w:hAnsiTheme="majorBidi" w:cstheme="majorBidi"/>
          <w:sz w:val="24"/>
          <w:szCs w:val="24"/>
          <w:lang w:val="en-US"/>
        </w:rPr>
        <w:t>in 2001</w:t>
      </w:r>
      <w:r w:rsidR="00785B09" w:rsidRPr="00785B09">
        <w:rPr>
          <w:rFonts w:asciiTheme="majorBidi" w:hAnsiTheme="majorBidi" w:cstheme="majorBidi"/>
          <w:sz w:val="24"/>
          <w:szCs w:val="24"/>
          <w:lang w:val="en-US"/>
        </w:rPr>
        <w:t xml:space="preserve">. It is based on the adjudication of appellate courts in the first instance, and the Supreme Court in the second instance. The original categories of disciplinary offenses considered by these courts were clear and flagrant </w:t>
      </w:r>
      <w:r w:rsidR="00B6404D">
        <w:rPr>
          <w:rFonts w:asciiTheme="majorBidi" w:hAnsiTheme="majorBidi" w:cstheme="majorBidi"/>
          <w:sz w:val="24"/>
          <w:szCs w:val="24"/>
          <w:lang w:val="en-US"/>
        </w:rPr>
        <w:t>violations</w:t>
      </w:r>
      <w:r w:rsidR="00B6404D" w:rsidRPr="00785B09">
        <w:rPr>
          <w:rFonts w:asciiTheme="majorBidi" w:hAnsiTheme="majorBidi" w:cstheme="majorBidi"/>
          <w:sz w:val="24"/>
          <w:szCs w:val="24"/>
          <w:lang w:val="en-US"/>
        </w:rPr>
        <w:t xml:space="preserve"> </w:t>
      </w:r>
      <w:r w:rsidR="00785B09" w:rsidRPr="00785B09">
        <w:rPr>
          <w:rFonts w:asciiTheme="majorBidi" w:hAnsiTheme="majorBidi" w:cstheme="majorBidi"/>
          <w:sz w:val="24"/>
          <w:szCs w:val="24"/>
          <w:lang w:val="en-US"/>
        </w:rPr>
        <w:t xml:space="preserve">of the law (applies to adjudicatory activity) and misconduct to the dignity of the office (violation of the rules of professional ethics, or committing a misdemeanor). Although the introduction of the new law on the Supreme Court (effective </w:t>
      </w:r>
      <w:r w:rsidR="00BA15DC" w:rsidRPr="00785B09">
        <w:rPr>
          <w:rFonts w:asciiTheme="majorBidi" w:hAnsiTheme="majorBidi" w:cstheme="majorBidi"/>
          <w:sz w:val="24"/>
          <w:szCs w:val="24"/>
          <w:lang w:val="en-US"/>
        </w:rPr>
        <w:t>3</w:t>
      </w:r>
      <w:r w:rsidR="00BA15DC" w:rsidRPr="00B7375D">
        <w:rPr>
          <w:rFonts w:asciiTheme="majorBidi" w:hAnsiTheme="majorBidi" w:cstheme="majorBidi"/>
          <w:sz w:val="24"/>
          <w:szCs w:val="24"/>
          <w:vertAlign w:val="superscript"/>
          <w:lang w:val="en-US"/>
        </w:rPr>
        <w:t>rd</w:t>
      </w:r>
      <w:r w:rsidR="00BA15DC">
        <w:rPr>
          <w:rFonts w:asciiTheme="majorBidi" w:hAnsiTheme="majorBidi" w:cstheme="majorBidi"/>
          <w:sz w:val="24"/>
          <w:szCs w:val="24"/>
          <w:lang w:val="en-US"/>
        </w:rPr>
        <w:t xml:space="preserve"> </w:t>
      </w:r>
      <w:r w:rsidR="00785B09" w:rsidRPr="00785B09">
        <w:rPr>
          <w:rFonts w:asciiTheme="majorBidi" w:hAnsiTheme="majorBidi" w:cstheme="majorBidi"/>
          <w:sz w:val="24"/>
          <w:szCs w:val="24"/>
          <w:lang w:val="en-US"/>
        </w:rPr>
        <w:t>April 2018) maintained the competence of appellate courts to adjudicate in the first instance, it created a new institution within the functioning of the Supreme Court, i.e. the Disciplinary Chamber, which gained competence to adjudicate in principle in the second instance, and in certain cases also in the first.</w:t>
      </w:r>
    </w:p>
    <w:p w14:paraId="1341B803" w14:textId="1B0A9B6B" w:rsidR="00340415" w:rsidRDefault="005A276F" w:rsidP="00DE04F4">
      <w:pPr>
        <w:spacing w:after="0" w:line="360" w:lineRule="auto"/>
        <w:ind w:firstLine="709"/>
        <w:jc w:val="both"/>
        <w:rPr>
          <w:rFonts w:asciiTheme="majorBidi" w:hAnsiTheme="majorBidi" w:cstheme="majorBidi"/>
          <w:sz w:val="24"/>
          <w:szCs w:val="24"/>
          <w:lang w:val="en-US"/>
        </w:rPr>
      </w:pPr>
      <w:r w:rsidRPr="005A276F">
        <w:rPr>
          <w:rFonts w:asciiTheme="majorBidi" w:hAnsiTheme="majorBidi" w:cstheme="majorBidi"/>
          <w:sz w:val="24"/>
          <w:szCs w:val="24"/>
          <w:lang w:val="en-US"/>
        </w:rPr>
        <w:t xml:space="preserve">In February 2020, by amendment </w:t>
      </w:r>
      <w:r w:rsidR="00BA15DC">
        <w:rPr>
          <w:rFonts w:asciiTheme="majorBidi" w:hAnsiTheme="majorBidi" w:cstheme="majorBidi"/>
          <w:sz w:val="24"/>
          <w:szCs w:val="24"/>
          <w:lang w:val="en-US"/>
        </w:rPr>
        <w:t>to</w:t>
      </w:r>
      <w:r w:rsidR="00BA15DC" w:rsidRPr="005A276F">
        <w:rPr>
          <w:rFonts w:asciiTheme="majorBidi" w:hAnsiTheme="majorBidi" w:cstheme="majorBidi"/>
          <w:sz w:val="24"/>
          <w:szCs w:val="24"/>
          <w:lang w:val="en-US"/>
        </w:rPr>
        <w:t xml:space="preserve"> </w:t>
      </w:r>
      <w:r w:rsidRPr="00785B09">
        <w:rPr>
          <w:rFonts w:asciiTheme="majorBidi" w:hAnsiTheme="majorBidi" w:cstheme="majorBidi"/>
          <w:sz w:val="24"/>
          <w:szCs w:val="24"/>
          <w:lang w:val="en-US"/>
        </w:rPr>
        <w:t xml:space="preserve">the </w:t>
      </w:r>
      <w:r w:rsidR="00B7375D">
        <w:rPr>
          <w:rFonts w:asciiTheme="majorBidi" w:hAnsiTheme="majorBidi" w:cstheme="majorBidi"/>
          <w:sz w:val="24"/>
          <w:szCs w:val="24"/>
          <w:lang w:val="en-US"/>
        </w:rPr>
        <w:t>a</w:t>
      </w:r>
      <w:r w:rsidR="00BA15DC">
        <w:rPr>
          <w:rFonts w:asciiTheme="majorBidi" w:hAnsiTheme="majorBidi" w:cstheme="majorBidi"/>
          <w:sz w:val="24"/>
          <w:szCs w:val="24"/>
          <w:lang w:val="en-US"/>
        </w:rPr>
        <w:t>ct</w:t>
      </w:r>
      <w:r w:rsidRPr="00785B09">
        <w:rPr>
          <w:rFonts w:asciiTheme="majorBidi" w:hAnsiTheme="majorBidi" w:cstheme="majorBidi"/>
          <w:sz w:val="24"/>
          <w:szCs w:val="24"/>
          <w:lang w:val="en-US"/>
        </w:rPr>
        <w:t xml:space="preserve"> on the </w:t>
      </w:r>
      <w:r w:rsidR="00B7375D">
        <w:rPr>
          <w:rFonts w:asciiTheme="majorBidi" w:hAnsiTheme="majorBidi" w:cstheme="majorBidi"/>
          <w:sz w:val="24"/>
          <w:szCs w:val="24"/>
          <w:lang w:val="en-US"/>
        </w:rPr>
        <w:t>s</w:t>
      </w:r>
      <w:r w:rsidRPr="00785B09">
        <w:rPr>
          <w:rFonts w:asciiTheme="majorBidi" w:hAnsiTheme="majorBidi" w:cstheme="majorBidi"/>
          <w:sz w:val="24"/>
          <w:szCs w:val="24"/>
          <w:lang w:val="en-US"/>
        </w:rPr>
        <w:t xml:space="preserve">ystem of </w:t>
      </w:r>
      <w:r w:rsidR="00B7375D">
        <w:rPr>
          <w:rFonts w:asciiTheme="majorBidi" w:hAnsiTheme="majorBidi" w:cstheme="majorBidi"/>
          <w:sz w:val="24"/>
          <w:szCs w:val="24"/>
          <w:lang w:val="en-US"/>
        </w:rPr>
        <w:t>c</w:t>
      </w:r>
      <w:r w:rsidRPr="00785B09">
        <w:rPr>
          <w:rFonts w:asciiTheme="majorBidi" w:hAnsiTheme="majorBidi" w:cstheme="majorBidi"/>
          <w:sz w:val="24"/>
          <w:szCs w:val="24"/>
          <w:lang w:val="en-US"/>
        </w:rPr>
        <w:t xml:space="preserve">ommon </w:t>
      </w:r>
      <w:r w:rsidR="00B7375D">
        <w:rPr>
          <w:rFonts w:asciiTheme="majorBidi" w:hAnsiTheme="majorBidi" w:cstheme="majorBidi"/>
          <w:sz w:val="24"/>
          <w:szCs w:val="24"/>
          <w:lang w:val="en-US"/>
        </w:rPr>
        <w:t>c</w:t>
      </w:r>
      <w:r w:rsidRPr="00785B09">
        <w:rPr>
          <w:rFonts w:asciiTheme="majorBidi" w:hAnsiTheme="majorBidi" w:cstheme="majorBidi"/>
          <w:sz w:val="24"/>
          <w:szCs w:val="24"/>
          <w:lang w:val="en-US"/>
        </w:rPr>
        <w:t>ourts</w:t>
      </w:r>
      <w:r w:rsidR="00782E80">
        <w:rPr>
          <w:rStyle w:val="Odwoanieprzypisudolnego"/>
          <w:rFonts w:asciiTheme="majorBidi" w:hAnsiTheme="majorBidi" w:cstheme="majorBidi"/>
          <w:sz w:val="24"/>
          <w:szCs w:val="24"/>
          <w:lang w:val="en-US"/>
        </w:rPr>
        <w:footnoteReference w:id="4"/>
      </w:r>
      <w:r w:rsidRPr="005A276F">
        <w:rPr>
          <w:rFonts w:asciiTheme="majorBidi" w:hAnsiTheme="majorBidi" w:cstheme="majorBidi"/>
          <w:sz w:val="24"/>
          <w:szCs w:val="24"/>
          <w:lang w:val="en-US"/>
        </w:rPr>
        <w:t xml:space="preserve">, the catalog of general offenses expanded to include further offenses in the form of </w:t>
      </w:r>
      <w:r w:rsidR="007F6FA2">
        <w:rPr>
          <w:rFonts w:asciiTheme="majorBidi" w:hAnsiTheme="majorBidi" w:cstheme="majorBidi"/>
          <w:sz w:val="24"/>
          <w:szCs w:val="24"/>
          <w:lang w:val="en-US"/>
        </w:rPr>
        <w:t xml:space="preserve">(1) </w:t>
      </w:r>
      <w:r w:rsidRPr="005A276F">
        <w:rPr>
          <w:rFonts w:asciiTheme="majorBidi" w:hAnsiTheme="majorBidi" w:cstheme="majorBidi"/>
          <w:sz w:val="24"/>
          <w:szCs w:val="24"/>
          <w:lang w:val="en-US"/>
        </w:rPr>
        <w:t xml:space="preserve">an act or omission </w:t>
      </w:r>
      <w:r w:rsidRPr="005A276F">
        <w:rPr>
          <w:rFonts w:asciiTheme="majorBidi" w:hAnsiTheme="majorBidi" w:cstheme="majorBidi"/>
          <w:sz w:val="24"/>
          <w:szCs w:val="24"/>
          <w:lang w:val="en-US"/>
        </w:rPr>
        <w:lastRenderedPageBreak/>
        <w:t xml:space="preserve">that may prevent or significantly impede the functioning of a judicial body, </w:t>
      </w:r>
      <w:r w:rsidR="007F6FA2">
        <w:rPr>
          <w:rFonts w:asciiTheme="majorBidi" w:hAnsiTheme="majorBidi" w:cstheme="majorBidi"/>
          <w:sz w:val="24"/>
          <w:szCs w:val="24"/>
          <w:lang w:val="en-US"/>
        </w:rPr>
        <w:t>(2)</w:t>
      </w:r>
      <w:r w:rsidRPr="005A276F">
        <w:rPr>
          <w:rFonts w:asciiTheme="majorBidi" w:hAnsiTheme="majorBidi" w:cstheme="majorBidi"/>
          <w:sz w:val="24"/>
          <w:szCs w:val="24"/>
          <w:lang w:val="en-US"/>
        </w:rPr>
        <w:t xml:space="preserve"> an act that questions the existence of a judge's official relationship, the effectiveness of his or her appointment, or the legitimacy of the constitutional authority of the Republic of Poland, </w:t>
      </w:r>
      <w:r w:rsidR="007F6FA2">
        <w:rPr>
          <w:rFonts w:asciiTheme="majorBidi" w:hAnsiTheme="majorBidi" w:cstheme="majorBidi"/>
          <w:sz w:val="24"/>
          <w:szCs w:val="24"/>
          <w:lang w:val="en-US"/>
        </w:rPr>
        <w:t xml:space="preserve">(3) </w:t>
      </w:r>
      <w:r w:rsidRPr="005A276F">
        <w:rPr>
          <w:rFonts w:asciiTheme="majorBidi" w:hAnsiTheme="majorBidi" w:cstheme="majorBidi"/>
          <w:sz w:val="24"/>
          <w:szCs w:val="24"/>
          <w:lang w:val="en-US"/>
        </w:rPr>
        <w:t xml:space="preserve">public activities that are incompatible with the principles of judicial independence and the independence of judges. The above amendment began to be customarily referred to as the </w:t>
      </w:r>
      <w:r w:rsidR="00594F27">
        <w:rPr>
          <w:rFonts w:asciiTheme="majorBidi" w:hAnsiTheme="majorBidi" w:cstheme="majorBidi"/>
          <w:sz w:val="24"/>
          <w:szCs w:val="24"/>
          <w:lang w:val="en-US"/>
        </w:rPr>
        <w:t>‘</w:t>
      </w:r>
      <w:r>
        <w:rPr>
          <w:rFonts w:asciiTheme="majorBidi" w:hAnsiTheme="majorBidi" w:cstheme="majorBidi"/>
          <w:sz w:val="24"/>
          <w:szCs w:val="24"/>
          <w:lang w:val="en-US"/>
        </w:rPr>
        <w:t>M</w:t>
      </w:r>
      <w:r w:rsidRPr="005A276F">
        <w:rPr>
          <w:rFonts w:asciiTheme="majorBidi" w:hAnsiTheme="majorBidi" w:cstheme="majorBidi"/>
          <w:sz w:val="24"/>
          <w:szCs w:val="24"/>
          <w:lang w:val="en-US"/>
        </w:rPr>
        <w:t xml:space="preserve">uzzle </w:t>
      </w:r>
      <w:r>
        <w:rPr>
          <w:rFonts w:asciiTheme="majorBidi" w:hAnsiTheme="majorBidi" w:cstheme="majorBidi"/>
          <w:sz w:val="24"/>
          <w:szCs w:val="24"/>
          <w:lang w:val="en-US"/>
        </w:rPr>
        <w:t>L</w:t>
      </w:r>
      <w:r w:rsidRPr="005A276F">
        <w:rPr>
          <w:rFonts w:asciiTheme="majorBidi" w:hAnsiTheme="majorBidi" w:cstheme="majorBidi"/>
          <w:sz w:val="24"/>
          <w:szCs w:val="24"/>
          <w:lang w:val="en-US"/>
        </w:rPr>
        <w:t>aw</w:t>
      </w:r>
      <w:r w:rsidR="00594F27">
        <w:rPr>
          <w:rFonts w:asciiTheme="majorBidi" w:hAnsiTheme="majorBidi" w:cstheme="majorBidi"/>
          <w:sz w:val="24"/>
          <w:szCs w:val="24"/>
          <w:lang w:val="en-US"/>
        </w:rPr>
        <w:t>’</w:t>
      </w:r>
      <w:r w:rsidRPr="005A276F">
        <w:rPr>
          <w:rFonts w:asciiTheme="majorBidi" w:hAnsiTheme="majorBidi" w:cstheme="majorBidi"/>
          <w:sz w:val="24"/>
          <w:szCs w:val="24"/>
          <w:lang w:val="en-US"/>
        </w:rPr>
        <w:t xml:space="preserve">. Significantly, consideration of violations of this nature in the first instance was within the </w:t>
      </w:r>
      <w:r w:rsidR="00D96E74">
        <w:rPr>
          <w:rFonts w:asciiTheme="majorBidi" w:hAnsiTheme="majorBidi" w:cstheme="majorBidi"/>
          <w:sz w:val="24"/>
          <w:szCs w:val="24"/>
          <w:lang w:val="en-US"/>
        </w:rPr>
        <w:t>jurisdiction</w:t>
      </w:r>
      <w:r w:rsidR="00D96E74"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of the Disciplinary Chamber, as was the adjudication of liability in disciplinary offenses that are both intentional crimes prosecuted by public indictment and intentional fiscal crimes.</w:t>
      </w:r>
    </w:p>
    <w:p w14:paraId="2B2B25D7" w14:textId="6475B5B3" w:rsidR="005A276F" w:rsidRDefault="005A276F" w:rsidP="00DE04F4">
      <w:pPr>
        <w:spacing w:after="0" w:line="360" w:lineRule="auto"/>
        <w:ind w:firstLine="709"/>
        <w:jc w:val="both"/>
        <w:rPr>
          <w:rFonts w:asciiTheme="majorBidi" w:hAnsiTheme="majorBidi" w:cstheme="majorBidi"/>
          <w:sz w:val="24"/>
          <w:szCs w:val="24"/>
          <w:lang w:val="en-US"/>
        </w:rPr>
      </w:pPr>
      <w:r w:rsidRPr="005A276F">
        <w:rPr>
          <w:rFonts w:asciiTheme="majorBidi" w:hAnsiTheme="majorBidi" w:cstheme="majorBidi"/>
          <w:sz w:val="24"/>
          <w:szCs w:val="24"/>
          <w:lang w:val="en-US"/>
        </w:rPr>
        <w:t>The status of the Chamber in question turned out to be problematic</w:t>
      </w:r>
      <w:r w:rsidR="00C068B8">
        <w:rPr>
          <w:rFonts w:asciiTheme="majorBidi" w:hAnsiTheme="majorBidi" w:cstheme="majorBidi"/>
          <w:sz w:val="24"/>
          <w:szCs w:val="24"/>
          <w:lang w:val="en-US"/>
        </w:rPr>
        <w:t>,</w:t>
      </w:r>
      <w:r w:rsidRPr="005A276F">
        <w:rPr>
          <w:rFonts w:asciiTheme="majorBidi" w:hAnsiTheme="majorBidi" w:cstheme="majorBidi"/>
          <w:sz w:val="24"/>
          <w:szCs w:val="24"/>
          <w:lang w:val="en-US"/>
        </w:rPr>
        <w:t xml:space="preserve"> </w:t>
      </w:r>
      <w:r w:rsidR="00C068B8">
        <w:rPr>
          <w:rFonts w:asciiTheme="majorBidi" w:hAnsiTheme="majorBidi" w:cstheme="majorBidi"/>
          <w:sz w:val="24"/>
          <w:szCs w:val="24"/>
          <w:lang w:val="en-US"/>
        </w:rPr>
        <w:t>as the members of</w:t>
      </w:r>
      <w:r w:rsidRPr="005A276F">
        <w:rPr>
          <w:rFonts w:asciiTheme="majorBidi" w:hAnsiTheme="majorBidi" w:cstheme="majorBidi"/>
          <w:sz w:val="24"/>
          <w:szCs w:val="24"/>
          <w:lang w:val="en-US"/>
        </w:rPr>
        <w:t xml:space="preserve"> the body</w:t>
      </w:r>
      <w:r w:rsidR="00C068B8">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were </w:t>
      </w:r>
      <w:r w:rsidR="00613891">
        <w:rPr>
          <w:rFonts w:asciiTheme="majorBidi" w:hAnsiTheme="majorBidi" w:cstheme="majorBidi"/>
          <w:sz w:val="24"/>
          <w:szCs w:val="24"/>
          <w:lang w:val="en-US"/>
        </w:rPr>
        <w:t>all</w:t>
      </w:r>
      <w:r w:rsidR="00613891"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judges appointed to positions by the new </w:t>
      </w:r>
      <w:r w:rsidR="00FA4492" w:rsidRPr="00FA4492">
        <w:rPr>
          <w:rFonts w:asciiTheme="majorBidi" w:hAnsiTheme="majorBidi" w:cstheme="majorBidi"/>
          <w:color w:val="000000" w:themeColor="text1"/>
          <w:sz w:val="24"/>
          <w:szCs w:val="24"/>
          <w:shd w:val="clear" w:color="auto" w:fill="FFFFFF"/>
          <w:lang w:val="en-US"/>
        </w:rPr>
        <w:t>National </w:t>
      </w:r>
      <w:r w:rsidR="00FA4492" w:rsidRPr="00FA4492">
        <w:rPr>
          <w:rStyle w:val="Uwydatnienie"/>
          <w:rFonts w:asciiTheme="majorBidi" w:hAnsiTheme="majorBidi" w:cstheme="majorBidi"/>
          <w:i w:val="0"/>
          <w:iCs w:val="0"/>
          <w:color w:val="000000" w:themeColor="text1"/>
          <w:sz w:val="24"/>
          <w:szCs w:val="24"/>
          <w:shd w:val="clear" w:color="auto" w:fill="FFFFFF"/>
          <w:lang w:val="en-US"/>
        </w:rPr>
        <w:t>Council</w:t>
      </w:r>
      <w:r w:rsidR="00FA4492" w:rsidRPr="00FA4492">
        <w:rPr>
          <w:rFonts w:asciiTheme="majorBidi" w:hAnsiTheme="majorBidi" w:cstheme="majorBidi"/>
          <w:color w:val="000000" w:themeColor="text1"/>
          <w:sz w:val="24"/>
          <w:szCs w:val="24"/>
          <w:shd w:val="clear" w:color="auto" w:fill="FFFFFF"/>
          <w:lang w:val="en-US"/>
        </w:rPr>
        <w:t> of the Judiciary</w:t>
      </w:r>
      <w:r w:rsidRPr="005A276F">
        <w:rPr>
          <w:rFonts w:asciiTheme="majorBidi" w:hAnsiTheme="majorBidi" w:cstheme="majorBidi"/>
          <w:sz w:val="24"/>
          <w:szCs w:val="24"/>
          <w:lang w:val="en-US"/>
        </w:rPr>
        <w:t>. As a result, both domestic and international courts argued that the Disciplinary Chamber was not characterized by independence and that the regulations governing its operation violated the Polish Constitution, as well as EU law</w:t>
      </w:r>
      <w:r w:rsidR="00014DF7">
        <w:rPr>
          <w:rStyle w:val="Odwoanieprzypisudolnego"/>
          <w:rFonts w:asciiTheme="majorBidi" w:hAnsiTheme="majorBidi" w:cstheme="majorBidi"/>
          <w:sz w:val="24"/>
          <w:szCs w:val="24"/>
          <w:lang w:val="en-US"/>
        </w:rPr>
        <w:footnoteReference w:id="5"/>
      </w:r>
      <w:r w:rsidRPr="005A276F">
        <w:rPr>
          <w:rFonts w:asciiTheme="majorBidi" w:hAnsiTheme="majorBidi" w:cstheme="majorBidi"/>
          <w:sz w:val="24"/>
          <w:szCs w:val="24"/>
          <w:lang w:val="en-US"/>
        </w:rPr>
        <w:t xml:space="preserve">. </w:t>
      </w:r>
      <w:r w:rsidR="009256B1">
        <w:rPr>
          <w:rFonts w:asciiTheme="majorBidi" w:hAnsiTheme="majorBidi" w:cstheme="majorBidi"/>
          <w:sz w:val="24"/>
          <w:szCs w:val="24"/>
          <w:lang w:val="en-US"/>
        </w:rPr>
        <w:t>Due to</w:t>
      </w:r>
      <w:r w:rsidRPr="005A276F">
        <w:rPr>
          <w:rFonts w:asciiTheme="majorBidi" w:hAnsiTheme="majorBidi" w:cstheme="majorBidi"/>
          <w:sz w:val="24"/>
          <w:szCs w:val="24"/>
          <w:lang w:val="en-US"/>
        </w:rPr>
        <w:t xml:space="preserve"> particular pressure from the European Commission and the desire to receive funds from the National Reconstruction Plan, by the </w:t>
      </w:r>
      <w:r w:rsidR="00FE32D1">
        <w:rPr>
          <w:rFonts w:asciiTheme="majorBidi" w:hAnsiTheme="majorBidi" w:cstheme="majorBidi"/>
          <w:sz w:val="24"/>
          <w:szCs w:val="24"/>
          <w:lang w:val="en-US"/>
        </w:rPr>
        <w:t>Act</w:t>
      </w:r>
      <w:r w:rsidR="00FE32D1"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of </w:t>
      </w:r>
      <w:r w:rsidR="009256B1">
        <w:rPr>
          <w:rFonts w:asciiTheme="majorBidi" w:hAnsiTheme="majorBidi" w:cstheme="majorBidi"/>
          <w:sz w:val="24"/>
          <w:szCs w:val="24"/>
          <w:lang w:val="en-US"/>
        </w:rPr>
        <w:t xml:space="preserve">15 </w:t>
      </w:r>
      <w:r w:rsidRPr="005A276F">
        <w:rPr>
          <w:rFonts w:asciiTheme="majorBidi" w:hAnsiTheme="majorBidi" w:cstheme="majorBidi"/>
          <w:sz w:val="24"/>
          <w:szCs w:val="24"/>
          <w:lang w:val="en-US"/>
        </w:rPr>
        <w:t>July</w:t>
      </w:r>
      <w:r w:rsidR="009256B1">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2022</w:t>
      </w:r>
      <w:r w:rsidR="009256B1">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amending the </w:t>
      </w:r>
      <w:r w:rsidR="008A2C4E">
        <w:rPr>
          <w:rFonts w:asciiTheme="majorBidi" w:hAnsiTheme="majorBidi" w:cstheme="majorBidi"/>
          <w:sz w:val="24"/>
          <w:szCs w:val="24"/>
          <w:lang w:val="en-US"/>
        </w:rPr>
        <w:t>a</w:t>
      </w:r>
      <w:r w:rsidR="009256B1">
        <w:rPr>
          <w:rFonts w:asciiTheme="majorBidi" w:hAnsiTheme="majorBidi" w:cstheme="majorBidi"/>
          <w:sz w:val="24"/>
          <w:szCs w:val="24"/>
          <w:lang w:val="en-US"/>
        </w:rPr>
        <w:t>ct</w:t>
      </w:r>
      <w:r w:rsidR="009256B1"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on the Supreme Court</w:t>
      </w:r>
      <w:r w:rsidR="00782E80">
        <w:rPr>
          <w:rStyle w:val="Odwoanieprzypisudolnego"/>
          <w:rFonts w:asciiTheme="majorBidi" w:hAnsiTheme="majorBidi" w:cstheme="majorBidi"/>
          <w:sz w:val="24"/>
          <w:szCs w:val="24"/>
          <w:lang w:val="en-US"/>
        </w:rPr>
        <w:footnoteReference w:id="6"/>
      </w:r>
      <w:r w:rsidRPr="005A276F">
        <w:rPr>
          <w:rFonts w:asciiTheme="majorBidi" w:hAnsiTheme="majorBidi" w:cstheme="majorBidi"/>
          <w:sz w:val="24"/>
          <w:szCs w:val="24"/>
          <w:lang w:val="en-US"/>
        </w:rPr>
        <w:t>, the Disciplinary Chamber was abolished, and the Chamber of Professional Responsibility was established in its place.</w:t>
      </w:r>
    </w:p>
    <w:p w14:paraId="6A5B2D3D" w14:textId="32D7640F" w:rsidR="005A276F" w:rsidRDefault="005A276F" w:rsidP="00DE04F4">
      <w:pPr>
        <w:spacing w:after="0" w:line="360" w:lineRule="auto"/>
        <w:ind w:firstLine="709"/>
        <w:jc w:val="both"/>
        <w:rPr>
          <w:rFonts w:asciiTheme="majorBidi" w:hAnsiTheme="majorBidi" w:cstheme="majorBidi"/>
          <w:sz w:val="24"/>
          <w:szCs w:val="24"/>
          <w:lang w:val="en-US"/>
        </w:rPr>
      </w:pPr>
      <w:r w:rsidRPr="005A276F">
        <w:rPr>
          <w:rFonts w:asciiTheme="majorBidi" w:hAnsiTheme="majorBidi" w:cstheme="majorBidi"/>
          <w:sz w:val="24"/>
          <w:szCs w:val="24"/>
          <w:lang w:val="en-US"/>
        </w:rPr>
        <w:t xml:space="preserve">With regard to the new chamber, similar remarks can be made to its precursor. This is due to the basically identical scope of competence and problems with the composition of the judiciary, as of </w:t>
      </w:r>
      <w:r w:rsidR="009E3975">
        <w:rPr>
          <w:rFonts w:asciiTheme="majorBidi" w:hAnsiTheme="majorBidi" w:cstheme="majorBidi"/>
          <w:sz w:val="24"/>
          <w:szCs w:val="24"/>
          <w:lang w:val="en-US"/>
        </w:rPr>
        <w:t xml:space="preserve">the </w:t>
      </w:r>
      <w:r w:rsidRPr="005A276F">
        <w:rPr>
          <w:rFonts w:asciiTheme="majorBidi" w:hAnsiTheme="majorBidi" w:cstheme="majorBidi"/>
          <w:sz w:val="24"/>
          <w:szCs w:val="24"/>
          <w:lang w:val="en-US"/>
        </w:rPr>
        <w:t xml:space="preserve">11 </w:t>
      </w:r>
      <w:r w:rsidR="009E3975">
        <w:rPr>
          <w:rFonts w:asciiTheme="majorBidi" w:hAnsiTheme="majorBidi" w:cstheme="majorBidi"/>
          <w:sz w:val="24"/>
          <w:szCs w:val="24"/>
          <w:lang w:val="en-US"/>
        </w:rPr>
        <w:t>persons</w:t>
      </w:r>
      <w:r w:rsidR="009E3975"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appointed by the President of Poland to serve in the Chamber of Professional Responsibility, 6 were nominated by the new </w:t>
      </w:r>
      <w:r w:rsidR="00FA4492" w:rsidRPr="00FA4492">
        <w:rPr>
          <w:rFonts w:asciiTheme="majorBidi" w:hAnsiTheme="majorBidi" w:cstheme="majorBidi"/>
          <w:color w:val="000000" w:themeColor="text1"/>
          <w:sz w:val="24"/>
          <w:szCs w:val="24"/>
          <w:shd w:val="clear" w:color="auto" w:fill="FFFFFF"/>
          <w:lang w:val="en-US"/>
        </w:rPr>
        <w:t>National </w:t>
      </w:r>
      <w:r w:rsidR="00FA4492" w:rsidRPr="00FA4492">
        <w:rPr>
          <w:rStyle w:val="Uwydatnienie"/>
          <w:rFonts w:asciiTheme="majorBidi" w:hAnsiTheme="majorBidi" w:cstheme="majorBidi"/>
          <w:i w:val="0"/>
          <w:iCs w:val="0"/>
          <w:color w:val="000000" w:themeColor="text1"/>
          <w:sz w:val="24"/>
          <w:szCs w:val="24"/>
          <w:shd w:val="clear" w:color="auto" w:fill="FFFFFF"/>
          <w:lang w:val="en-US"/>
        </w:rPr>
        <w:t>Council</w:t>
      </w:r>
      <w:r w:rsidR="00FA4492" w:rsidRPr="00FA4492">
        <w:rPr>
          <w:rFonts w:asciiTheme="majorBidi" w:hAnsiTheme="majorBidi" w:cstheme="majorBidi"/>
          <w:color w:val="000000" w:themeColor="text1"/>
          <w:sz w:val="24"/>
          <w:szCs w:val="24"/>
          <w:shd w:val="clear" w:color="auto" w:fill="FFFFFF"/>
          <w:lang w:val="en-US"/>
        </w:rPr>
        <w:t> of the Judiciary</w:t>
      </w:r>
      <w:r w:rsidRPr="00FA4492">
        <w:rPr>
          <w:rFonts w:asciiTheme="majorBidi" w:hAnsiTheme="majorBidi" w:cstheme="majorBidi"/>
          <w:color w:val="000000" w:themeColor="text1"/>
          <w:sz w:val="24"/>
          <w:szCs w:val="24"/>
          <w:lang w:val="en-US"/>
        </w:rPr>
        <w:t xml:space="preserve">. </w:t>
      </w:r>
      <w:r w:rsidRPr="005A276F">
        <w:rPr>
          <w:rFonts w:asciiTheme="majorBidi" w:hAnsiTheme="majorBidi" w:cstheme="majorBidi"/>
          <w:sz w:val="24"/>
          <w:szCs w:val="24"/>
          <w:lang w:val="en-US"/>
        </w:rPr>
        <w:t xml:space="preserve">Also controversial </w:t>
      </w:r>
      <w:r w:rsidR="009E3975">
        <w:rPr>
          <w:rFonts w:asciiTheme="majorBidi" w:hAnsiTheme="majorBidi" w:cstheme="majorBidi"/>
          <w:sz w:val="24"/>
          <w:szCs w:val="24"/>
          <w:lang w:val="en-US"/>
        </w:rPr>
        <w:t>is</w:t>
      </w:r>
      <w:r w:rsidR="009E3975"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the requirement </w:t>
      </w:r>
      <w:r w:rsidR="00B95119">
        <w:rPr>
          <w:rFonts w:asciiTheme="majorBidi" w:hAnsiTheme="majorBidi" w:cstheme="majorBidi"/>
          <w:sz w:val="24"/>
          <w:szCs w:val="24"/>
          <w:lang w:val="en-US"/>
        </w:rPr>
        <w:t>for</w:t>
      </w:r>
      <w:r w:rsidR="00B95119"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 xml:space="preserve">the President </w:t>
      </w:r>
      <w:r w:rsidR="00B95119">
        <w:rPr>
          <w:rFonts w:asciiTheme="majorBidi" w:hAnsiTheme="majorBidi" w:cstheme="majorBidi"/>
          <w:sz w:val="24"/>
          <w:szCs w:val="24"/>
          <w:lang w:val="en-US"/>
        </w:rPr>
        <w:t xml:space="preserve">to </w:t>
      </w:r>
      <w:r w:rsidRPr="005A276F">
        <w:rPr>
          <w:rFonts w:asciiTheme="majorBidi" w:hAnsiTheme="majorBidi" w:cstheme="majorBidi"/>
          <w:sz w:val="24"/>
          <w:szCs w:val="24"/>
          <w:lang w:val="en-US"/>
        </w:rPr>
        <w:t xml:space="preserve">obtain the countersignature of the Prime Minister in the process of nominating judges and the inclusion of jurors in the judicial composition. However, in the literature, the </w:t>
      </w:r>
      <w:r w:rsidR="00742E20">
        <w:rPr>
          <w:rFonts w:asciiTheme="majorBidi" w:hAnsiTheme="majorBidi" w:cstheme="majorBidi"/>
          <w:sz w:val="24"/>
          <w:szCs w:val="24"/>
          <w:lang w:val="en-US"/>
        </w:rPr>
        <w:t>abolition</w:t>
      </w:r>
      <w:r w:rsidR="00742E20" w:rsidRPr="005A276F">
        <w:rPr>
          <w:rFonts w:asciiTheme="majorBidi" w:hAnsiTheme="majorBidi" w:cstheme="majorBidi"/>
          <w:sz w:val="24"/>
          <w:szCs w:val="24"/>
          <w:lang w:val="en-US"/>
        </w:rPr>
        <w:t xml:space="preserve"> </w:t>
      </w:r>
      <w:r w:rsidRPr="005A276F">
        <w:rPr>
          <w:rFonts w:asciiTheme="majorBidi" w:hAnsiTheme="majorBidi" w:cstheme="majorBidi"/>
          <w:sz w:val="24"/>
          <w:szCs w:val="24"/>
          <w:lang w:val="en-US"/>
        </w:rPr>
        <w:t>of the Chamber's individuality and its equalization with the other, which report to the First President of the Supreme Court, is viewed positively.</w:t>
      </w:r>
    </w:p>
    <w:p w14:paraId="31B60BA4" w14:textId="764B7844" w:rsidR="00721BAF" w:rsidRDefault="00721BAF" w:rsidP="00DE04F4">
      <w:pPr>
        <w:spacing w:after="0" w:line="360" w:lineRule="auto"/>
        <w:ind w:firstLine="709"/>
        <w:jc w:val="both"/>
        <w:rPr>
          <w:rFonts w:asciiTheme="majorBidi" w:hAnsiTheme="majorBidi" w:cstheme="majorBidi"/>
          <w:sz w:val="24"/>
          <w:szCs w:val="24"/>
          <w:lang w:val="en-US"/>
        </w:rPr>
      </w:pPr>
      <w:r w:rsidRPr="00721BAF">
        <w:rPr>
          <w:rFonts w:asciiTheme="majorBidi" w:hAnsiTheme="majorBidi" w:cstheme="majorBidi"/>
          <w:sz w:val="24"/>
          <w:szCs w:val="24"/>
          <w:lang w:val="en-US"/>
        </w:rPr>
        <w:t xml:space="preserve">The legislature also decided to introduce the so-called </w:t>
      </w:r>
      <w:r w:rsidR="006F5B80">
        <w:rPr>
          <w:rFonts w:asciiTheme="majorBidi" w:hAnsiTheme="majorBidi" w:cstheme="majorBidi"/>
          <w:sz w:val="24"/>
          <w:szCs w:val="24"/>
          <w:lang w:val="en-US"/>
        </w:rPr>
        <w:t>‘</w:t>
      </w:r>
      <w:r w:rsidRPr="00721BAF">
        <w:rPr>
          <w:rFonts w:asciiTheme="majorBidi" w:hAnsiTheme="majorBidi" w:cstheme="majorBidi"/>
          <w:sz w:val="24"/>
          <w:szCs w:val="24"/>
          <w:lang w:val="en-US"/>
        </w:rPr>
        <w:t>independence test</w:t>
      </w:r>
      <w:r w:rsidR="006F5B80">
        <w:rPr>
          <w:rFonts w:asciiTheme="majorBidi" w:hAnsiTheme="majorBidi" w:cstheme="majorBidi"/>
          <w:sz w:val="24"/>
          <w:szCs w:val="24"/>
          <w:lang w:val="en-US"/>
        </w:rPr>
        <w:t>’</w:t>
      </w:r>
      <w:r w:rsidR="00740AF7" w:rsidRPr="00740AF7">
        <w:rPr>
          <w:rFonts w:asciiTheme="majorBidi" w:hAnsiTheme="majorBidi" w:cstheme="majorBidi"/>
          <w:sz w:val="24"/>
          <w:szCs w:val="24"/>
          <w:lang w:val="en-US"/>
        </w:rPr>
        <w:t xml:space="preserve"> </w:t>
      </w:r>
      <w:r w:rsidR="00740AF7" w:rsidRPr="00721BAF">
        <w:rPr>
          <w:rFonts w:asciiTheme="majorBidi" w:hAnsiTheme="majorBidi" w:cstheme="majorBidi"/>
          <w:sz w:val="24"/>
          <w:szCs w:val="24"/>
          <w:lang w:val="en-US"/>
        </w:rPr>
        <w:t xml:space="preserve">in the </w:t>
      </w:r>
      <w:r w:rsidR="008A2C4E">
        <w:rPr>
          <w:rFonts w:asciiTheme="majorBidi" w:hAnsiTheme="majorBidi" w:cstheme="majorBidi"/>
          <w:sz w:val="24"/>
          <w:szCs w:val="24"/>
          <w:lang w:val="en-US"/>
        </w:rPr>
        <w:t>a</w:t>
      </w:r>
      <w:r w:rsidR="00740AF7">
        <w:rPr>
          <w:rFonts w:asciiTheme="majorBidi" w:hAnsiTheme="majorBidi" w:cstheme="majorBidi"/>
          <w:sz w:val="24"/>
          <w:szCs w:val="24"/>
          <w:lang w:val="en-US"/>
        </w:rPr>
        <w:t>ct</w:t>
      </w:r>
      <w:r w:rsidR="00740AF7" w:rsidRPr="00721BAF">
        <w:rPr>
          <w:rFonts w:asciiTheme="majorBidi" w:hAnsiTheme="majorBidi" w:cstheme="majorBidi"/>
          <w:sz w:val="24"/>
          <w:szCs w:val="24"/>
          <w:lang w:val="en-US"/>
        </w:rPr>
        <w:t xml:space="preserve"> on the Supreme Court</w:t>
      </w:r>
      <w:r w:rsidR="00740AF7">
        <w:rPr>
          <w:rFonts w:asciiTheme="majorBidi" w:hAnsiTheme="majorBidi" w:cstheme="majorBidi"/>
          <w:sz w:val="24"/>
          <w:szCs w:val="24"/>
          <w:lang w:val="en-US"/>
        </w:rPr>
        <w:t xml:space="preserve"> in order</w:t>
      </w:r>
      <w:r w:rsidRPr="00721BAF">
        <w:rPr>
          <w:rFonts w:asciiTheme="majorBidi" w:hAnsiTheme="majorBidi" w:cstheme="majorBidi"/>
          <w:sz w:val="24"/>
          <w:szCs w:val="24"/>
          <w:lang w:val="en-US"/>
        </w:rPr>
        <w:t xml:space="preserve"> to eliminate doubts about the ability of a particular Supreme Court judge to hear a case. According to Article 29, paragraph 6(2) of the mentioned </w:t>
      </w:r>
      <w:r w:rsidR="008A2C4E">
        <w:rPr>
          <w:rFonts w:asciiTheme="majorBidi" w:hAnsiTheme="majorBidi" w:cstheme="majorBidi"/>
          <w:sz w:val="24"/>
          <w:szCs w:val="24"/>
          <w:lang w:val="en-US"/>
        </w:rPr>
        <w:t>a</w:t>
      </w:r>
      <w:r w:rsidR="00FE0FAC">
        <w:rPr>
          <w:rFonts w:asciiTheme="majorBidi" w:hAnsiTheme="majorBidi" w:cstheme="majorBidi"/>
          <w:sz w:val="24"/>
          <w:szCs w:val="24"/>
          <w:lang w:val="en-US"/>
        </w:rPr>
        <w:t>ct</w:t>
      </w:r>
      <w:r w:rsidRPr="00721BAF">
        <w:rPr>
          <w:rFonts w:asciiTheme="majorBidi" w:hAnsiTheme="majorBidi" w:cstheme="majorBidi"/>
          <w:sz w:val="24"/>
          <w:szCs w:val="24"/>
          <w:lang w:val="en-US"/>
        </w:rPr>
        <w:t xml:space="preserve">, such a test </w:t>
      </w:r>
      <w:r w:rsidRPr="00721BAF">
        <w:rPr>
          <w:rFonts w:asciiTheme="majorBidi" w:hAnsiTheme="majorBidi" w:cstheme="majorBidi"/>
          <w:sz w:val="24"/>
          <w:szCs w:val="24"/>
          <w:lang w:val="en-US"/>
        </w:rPr>
        <w:lastRenderedPageBreak/>
        <w:t xml:space="preserve">can also be carried out in disciplinary cases. However, the effectiveness of this institution </w:t>
      </w:r>
      <w:r w:rsidR="007B7B2D">
        <w:rPr>
          <w:rFonts w:asciiTheme="majorBidi" w:hAnsiTheme="majorBidi" w:cstheme="majorBidi"/>
          <w:sz w:val="24"/>
          <w:szCs w:val="24"/>
          <w:lang w:val="en-US"/>
        </w:rPr>
        <w:t>has been</w:t>
      </w:r>
      <w:r w:rsidR="007B7B2D" w:rsidRPr="00721BAF">
        <w:rPr>
          <w:rFonts w:asciiTheme="majorBidi" w:hAnsiTheme="majorBidi" w:cstheme="majorBidi"/>
          <w:sz w:val="24"/>
          <w:szCs w:val="24"/>
          <w:lang w:val="en-US"/>
        </w:rPr>
        <w:t xml:space="preserve"> </w:t>
      </w:r>
      <w:r w:rsidRPr="00721BAF">
        <w:rPr>
          <w:rFonts w:asciiTheme="majorBidi" w:hAnsiTheme="majorBidi" w:cstheme="majorBidi"/>
          <w:sz w:val="24"/>
          <w:szCs w:val="24"/>
          <w:lang w:val="en-US"/>
        </w:rPr>
        <w:t>questioned in doctrine</w:t>
      </w:r>
      <w:r w:rsidR="00782E80">
        <w:rPr>
          <w:rStyle w:val="Odwoanieprzypisudolnego"/>
          <w:rFonts w:asciiTheme="majorBidi" w:hAnsiTheme="majorBidi" w:cstheme="majorBidi"/>
          <w:sz w:val="24"/>
          <w:szCs w:val="24"/>
          <w:lang w:val="en-US"/>
        </w:rPr>
        <w:footnoteReference w:id="7"/>
      </w:r>
      <w:r w:rsidRPr="00721BAF">
        <w:rPr>
          <w:rFonts w:asciiTheme="majorBidi" w:hAnsiTheme="majorBidi" w:cstheme="majorBidi"/>
          <w:sz w:val="24"/>
          <w:szCs w:val="24"/>
          <w:lang w:val="en-US"/>
        </w:rPr>
        <w:t>.</w:t>
      </w:r>
    </w:p>
    <w:p w14:paraId="418F0365" w14:textId="19689AB3" w:rsidR="00721BAF" w:rsidRDefault="00721BAF" w:rsidP="00DE04F4">
      <w:pPr>
        <w:spacing w:after="0" w:line="360" w:lineRule="auto"/>
        <w:ind w:firstLine="709"/>
        <w:jc w:val="both"/>
        <w:rPr>
          <w:rFonts w:asciiTheme="majorBidi" w:hAnsiTheme="majorBidi" w:cstheme="majorBidi"/>
          <w:sz w:val="24"/>
          <w:szCs w:val="24"/>
          <w:lang w:val="en-US"/>
        </w:rPr>
      </w:pPr>
      <w:r w:rsidRPr="00721BAF">
        <w:rPr>
          <w:rFonts w:asciiTheme="majorBidi" w:hAnsiTheme="majorBidi" w:cstheme="majorBidi"/>
          <w:sz w:val="24"/>
          <w:szCs w:val="24"/>
          <w:lang w:val="en-US"/>
        </w:rPr>
        <w:t xml:space="preserve">This September, the </w:t>
      </w:r>
      <w:r w:rsidR="00A62202" w:rsidRPr="00721BAF">
        <w:rPr>
          <w:rFonts w:asciiTheme="majorBidi" w:hAnsiTheme="majorBidi" w:cstheme="majorBidi"/>
          <w:sz w:val="24"/>
          <w:szCs w:val="24"/>
          <w:lang w:val="en-US"/>
        </w:rPr>
        <w:t>Chamber</w:t>
      </w:r>
      <w:r w:rsidR="00A62202">
        <w:rPr>
          <w:rFonts w:asciiTheme="majorBidi" w:hAnsiTheme="majorBidi" w:cstheme="majorBidi"/>
          <w:sz w:val="24"/>
          <w:szCs w:val="24"/>
          <w:lang w:val="en-US"/>
        </w:rPr>
        <w:t xml:space="preserve"> of</w:t>
      </w:r>
      <w:r w:rsidR="00A62202" w:rsidRPr="00721BAF">
        <w:rPr>
          <w:rFonts w:asciiTheme="majorBidi" w:hAnsiTheme="majorBidi" w:cstheme="majorBidi"/>
          <w:sz w:val="24"/>
          <w:szCs w:val="24"/>
          <w:lang w:val="en-US"/>
        </w:rPr>
        <w:t xml:space="preserve"> </w:t>
      </w:r>
      <w:r w:rsidRPr="00721BAF">
        <w:rPr>
          <w:rFonts w:asciiTheme="majorBidi" w:hAnsiTheme="majorBidi" w:cstheme="majorBidi"/>
          <w:sz w:val="24"/>
          <w:szCs w:val="24"/>
          <w:lang w:val="en-US"/>
        </w:rPr>
        <w:t>Professional Responsibility will have been adjudicated for two years. Statistics kept by the Supreme Court</w:t>
      </w:r>
      <w:r w:rsidR="00924085">
        <w:rPr>
          <w:rStyle w:val="Odwoanieprzypisudolnego"/>
          <w:rFonts w:asciiTheme="majorBidi" w:hAnsiTheme="majorBidi" w:cstheme="majorBidi"/>
          <w:sz w:val="24"/>
          <w:szCs w:val="24"/>
          <w:lang w:val="en-US"/>
        </w:rPr>
        <w:footnoteReference w:id="8"/>
      </w:r>
      <w:r w:rsidRPr="00721BAF">
        <w:rPr>
          <w:rFonts w:asciiTheme="majorBidi" w:hAnsiTheme="majorBidi" w:cstheme="majorBidi"/>
          <w:sz w:val="24"/>
          <w:szCs w:val="24"/>
          <w:lang w:val="en-US"/>
        </w:rPr>
        <w:t xml:space="preserve"> show that in 2022, a total of 736 cases were received for consideration, </w:t>
      </w:r>
      <w:r w:rsidR="00FF71DA">
        <w:rPr>
          <w:rFonts w:asciiTheme="majorBidi" w:hAnsiTheme="majorBidi" w:cstheme="majorBidi"/>
          <w:sz w:val="24"/>
          <w:szCs w:val="24"/>
          <w:lang w:val="en-US"/>
        </w:rPr>
        <w:t xml:space="preserve">and </w:t>
      </w:r>
      <w:r w:rsidRPr="00721BAF">
        <w:rPr>
          <w:rFonts w:asciiTheme="majorBidi" w:hAnsiTheme="majorBidi" w:cstheme="majorBidi"/>
          <w:sz w:val="24"/>
          <w:szCs w:val="24"/>
          <w:lang w:val="en-US"/>
        </w:rPr>
        <w:t>only 151 were recognized. In 2023, together with cases from the previous period, there were 1386 cases for consideration,</w:t>
      </w:r>
      <w:r w:rsidR="00A62202">
        <w:rPr>
          <w:rFonts w:asciiTheme="majorBidi" w:hAnsiTheme="majorBidi" w:cstheme="majorBidi"/>
          <w:sz w:val="24"/>
          <w:szCs w:val="24"/>
          <w:lang w:val="en-US"/>
        </w:rPr>
        <w:t xml:space="preserve"> of which</w:t>
      </w:r>
      <w:r w:rsidRPr="00721BAF">
        <w:rPr>
          <w:rFonts w:asciiTheme="majorBidi" w:hAnsiTheme="majorBidi" w:cstheme="majorBidi"/>
          <w:sz w:val="24"/>
          <w:szCs w:val="24"/>
          <w:lang w:val="en-US"/>
        </w:rPr>
        <w:t xml:space="preserve"> 721 were carried over to the next period. However, it should be kept in mind that the </w:t>
      </w:r>
      <w:r w:rsidR="00293473">
        <w:rPr>
          <w:rFonts w:asciiTheme="majorBidi" w:hAnsiTheme="majorBidi" w:cstheme="majorBidi"/>
          <w:sz w:val="24"/>
          <w:szCs w:val="24"/>
          <w:lang w:val="en-US"/>
        </w:rPr>
        <w:t>C</w:t>
      </w:r>
      <w:r w:rsidRPr="00721BAF">
        <w:rPr>
          <w:rFonts w:asciiTheme="majorBidi" w:hAnsiTheme="majorBidi" w:cstheme="majorBidi"/>
          <w:sz w:val="24"/>
          <w:szCs w:val="24"/>
          <w:lang w:val="en-US"/>
        </w:rPr>
        <w:t xml:space="preserve">hamber also </w:t>
      </w:r>
      <w:r w:rsidR="00F86778">
        <w:rPr>
          <w:rFonts w:asciiTheme="majorBidi" w:hAnsiTheme="majorBidi" w:cstheme="majorBidi"/>
          <w:sz w:val="24"/>
          <w:szCs w:val="24"/>
          <w:lang w:val="en-US"/>
        </w:rPr>
        <w:t>examines</w:t>
      </w:r>
      <w:r w:rsidRPr="00721BAF">
        <w:rPr>
          <w:rFonts w:asciiTheme="majorBidi" w:hAnsiTheme="majorBidi" w:cstheme="majorBidi"/>
          <w:sz w:val="24"/>
          <w:szCs w:val="24"/>
          <w:lang w:val="en-US"/>
        </w:rPr>
        <w:t xml:space="preserve">, among other things, cases concerning the responsibility of representatives of other professions (cassation level). In 2022 and 2023, </w:t>
      </w:r>
      <w:r w:rsidR="000B6441">
        <w:rPr>
          <w:rFonts w:asciiTheme="majorBidi" w:hAnsiTheme="majorBidi" w:cstheme="majorBidi"/>
          <w:sz w:val="24"/>
          <w:szCs w:val="24"/>
          <w:lang w:val="en-US"/>
        </w:rPr>
        <w:t>the total number of</w:t>
      </w:r>
      <w:r w:rsidRPr="00721BAF">
        <w:rPr>
          <w:rFonts w:asciiTheme="majorBidi" w:hAnsiTheme="majorBidi" w:cstheme="majorBidi"/>
          <w:sz w:val="24"/>
          <w:szCs w:val="24"/>
          <w:lang w:val="en-US"/>
        </w:rPr>
        <w:t xml:space="preserve"> cases of disciplinary responsibility of judges of the Supreme Court, judges of common and military courts, prosecutors, court assessors and prosecutors recognized by the Supreme Court in the first instance </w:t>
      </w:r>
      <w:r w:rsidR="004053A1">
        <w:rPr>
          <w:rFonts w:asciiTheme="majorBidi" w:hAnsiTheme="majorBidi" w:cstheme="majorBidi"/>
          <w:sz w:val="24"/>
          <w:szCs w:val="24"/>
          <w:lang w:val="en-US"/>
        </w:rPr>
        <w:t>was</w:t>
      </w:r>
      <w:r w:rsidR="004053A1" w:rsidRPr="00721BAF">
        <w:rPr>
          <w:rFonts w:asciiTheme="majorBidi" w:hAnsiTheme="majorBidi" w:cstheme="majorBidi"/>
          <w:sz w:val="24"/>
          <w:szCs w:val="24"/>
          <w:lang w:val="en-US"/>
        </w:rPr>
        <w:t xml:space="preserve"> </w:t>
      </w:r>
      <w:r w:rsidRPr="00721BAF">
        <w:rPr>
          <w:rFonts w:asciiTheme="majorBidi" w:hAnsiTheme="majorBidi" w:cstheme="majorBidi"/>
          <w:sz w:val="24"/>
          <w:szCs w:val="24"/>
          <w:lang w:val="en-US"/>
        </w:rPr>
        <w:t>72. Of these, completed cases (14) were mostly processed for more than 6 months.</w:t>
      </w:r>
    </w:p>
    <w:p w14:paraId="695F5E58" w14:textId="5D03907B" w:rsidR="008E3DA5" w:rsidRPr="00340415" w:rsidRDefault="008E3DA5" w:rsidP="00DE04F4">
      <w:pPr>
        <w:spacing w:after="0" w:line="360" w:lineRule="auto"/>
        <w:jc w:val="both"/>
        <w:rPr>
          <w:rFonts w:asciiTheme="majorBidi" w:hAnsiTheme="majorBidi" w:cstheme="majorBidi"/>
          <w:sz w:val="24"/>
          <w:szCs w:val="24"/>
          <w:lang w:val="en-US"/>
        </w:rPr>
      </w:pPr>
    </w:p>
    <w:sectPr w:rsidR="008E3DA5" w:rsidRPr="003404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F2CF" w14:textId="77777777" w:rsidR="00C43181" w:rsidRDefault="00C43181" w:rsidP="0030733A">
      <w:pPr>
        <w:spacing w:after="0" w:line="240" w:lineRule="auto"/>
      </w:pPr>
      <w:r>
        <w:separator/>
      </w:r>
    </w:p>
  </w:endnote>
  <w:endnote w:type="continuationSeparator" w:id="0">
    <w:p w14:paraId="5B3F64CA" w14:textId="77777777" w:rsidR="00C43181" w:rsidRDefault="00C43181" w:rsidP="0030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BCC6" w14:textId="77777777" w:rsidR="00C43181" w:rsidRDefault="00C43181" w:rsidP="0030733A">
      <w:pPr>
        <w:spacing w:after="0" w:line="240" w:lineRule="auto"/>
      </w:pPr>
      <w:r>
        <w:separator/>
      </w:r>
    </w:p>
  </w:footnote>
  <w:footnote w:type="continuationSeparator" w:id="0">
    <w:p w14:paraId="0FC0B75E" w14:textId="77777777" w:rsidR="00C43181" w:rsidRDefault="00C43181" w:rsidP="0030733A">
      <w:pPr>
        <w:spacing w:after="0" w:line="240" w:lineRule="auto"/>
      </w:pPr>
      <w:r>
        <w:continuationSeparator/>
      </w:r>
    </w:p>
  </w:footnote>
  <w:footnote w:id="1">
    <w:p w14:paraId="56F97F7E" w14:textId="77777777" w:rsidR="00B118FD" w:rsidRPr="00A12313" w:rsidRDefault="00B118FD" w:rsidP="00B118FD">
      <w:pPr>
        <w:pStyle w:val="Tekstprzypisudolnego"/>
        <w:jc w:val="both"/>
        <w:rPr>
          <w:rFonts w:asciiTheme="majorBidi" w:hAnsiTheme="majorBidi" w:cstheme="majorBidi"/>
          <w:lang w:val="en-US"/>
        </w:rPr>
      </w:pPr>
      <w:r>
        <w:rPr>
          <w:rStyle w:val="Odwoanieprzypisudolnego"/>
        </w:rPr>
        <w:footnoteRef/>
      </w:r>
      <w:r w:rsidRPr="000F7EE0">
        <w:rPr>
          <w:lang w:val="en-US"/>
        </w:rPr>
        <w:t xml:space="preserve"> </w:t>
      </w:r>
      <w:r w:rsidRPr="00A12313">
        <w:rPr>
          <w:rFonts w:asciiTheme="majorBidi" w:hAnsiTheme="majorBidi" w:cstheme="majorBidi"/>
          <w:color w:val="000000" w:themeColor="text1"/>
          <w:lang w:val="en-US"/>
        </w:rPr>
        <w:t xml:space="preserve">See, e.g., </w:t>
      </w:r>
      <w:r w:rsidRPr="00A12313">
        <w:rPr>
          <w:rFonts w:asciiTheme="majorBidi" w:hAnsiTheme="majorBidi" w:cstheme="majorBidi"/>
          <w:color w:val="000000" w:themeColor="text1"/>
          <w:shd w:val="clear" w:color="auto" w:fill="FFFFFF"/>
          <w:lang w:val="en-US"/>
        </w:rPr>
        <w:t>Judgement of the CJEU of June 24, 2019 in Case C-619/18; Judgement of the CJEU of November 19, 2019 in Joined Cases C-585/18, C-624/18, C-625/18; Judgement of the CJEU of March 22, 2022 in Case C-508/19.</w:t>
      </w:r>
    </w:p>
  </w:footnote>
  <w:footnote w:id="2">
    <w:p w14:paraId="57F46E85" w14:textId="0BB81431" w:rsidR="00B118FD" w:rsidRPr="00A12313" w:rsidRDefault="00B118FD" w:rsidP="00B118FD">
      <w:pPr>
        <w:pStyle w:val="Tekstprzypisudolnego"/>
        <w:jc w:val="both"/>
        <w:rPr>
          <w:rFonts w:asciiTheme="majorBidi" w:hAnsiTheme="majorBidi" w:cstheme="majorBidi"/>
          <w:lang w:val="en-US"/>
        </w:rPr>
      </w:pPr>
      <w:r w:rsidRPr="00A12313">
        <w:rPr>
          <w:rStyle w:val="Odwoanieprzypisudolnego"/>
          <w:rFonts w:asciiTheme="majorBidi" w:hAnsiTheme="majorBidi" w:cstheme="majorBidi"/>
        </w:rPr>
        <w:footnoteRef/>
      </w:r>
      <w:r w:rsidRPr="00A12313">
        <w:rPr>
          <w:rFonts w:asciiTheme="majorBidi" w:hAnsiTheme="majorBidi" w:cstheme="majorBidi"/>
          <w:lang w:val="en-US"/>
        </w:rPr>
        <w:t xml:space="preserve"> </w:t>
      </w:r>
      <w:r>
        <w:rPr>
          <w:rFonts w:asciiTheme="majorBidi" w:hAnsiTheme="majorBidi" w:cstheme="majorBidi"/>
          <w:lang w:val="en-US"/>
        </w:rPr>
        <w:t>Act</w:t>
      </w:r>
      <w:r w:rsidRPr="00A12313">
        <w:rPr>
          <w:rFonts w:asciiTheme="majorBidi" w:hAnsiTheme="majorBidi" w:cstheme="majorBidi"/>
          <w:lang w:val="en-US"/>
        </w:rPr>
        <w:t xml:space="preserve"> </w:t>
      </w:r>
      <w:r w:rsidR="00995AEB" w:rsidRPr="00A12313">
        <w:rPr>
          <w:rFonts w:asciiTheme="majorBidi" w:hAnsiTheme="majorBidi" w:cstheme="majorBidi"/>
          <w:lang w:val="en-US"/>
        </w:rPr>
        <w:t>of 8</w:t>
      </w:r>
      <w:r w:rsidR="00995AEB">
        <w:rPr>
          <w:rFonts w:asciiTheme="majorBidi" w:hAnsiTheme="majorBidi" w:cstheme="majorBidi"/>
          <w:lang w:val="en-US"/>
        </w:rPr>
        <w:t xml:space="preserve"> </w:t>
      </w:r>
      <w:r w:rsidR="00995AEB" w:rsidRPr="00A12313">
        <w:rPr>
          <w:rFonts w:asciiTheme="majorBidi" w:hAnsiTheme="majorBidi" w:cstheme="majorBidi"/>
          <w:lang w:val="en-US"/>
        </w:rPr>
        <w:t xml:space="preserve">December 2017 </w:t>
      </w:r>
      <w:r w:rsidRPr="00A12313">
        <w:rPr>
          <w:rFonts w:asciiTheme="majorBidi" w:hAnsiTheme="majorBidi" w:cstheme="majorBidi"/>
          <w:lang w:val="en-US"/>
        </w:rPr>
        <w:t>on the Supreme Court (</w:t>
      </w:r>
      <w:r>
        <w:rPr>
          <w:rFonts w:asciiTheme="majorBidi" w:hAnsiTheme="majorBidi" w:cstheme="majorBidi"/>
          <w:lang w:val="en-US"/>
        </w:rPr>
        <w:t>consol. text</w:t>
      </w:r>
      <w:r w:rsidRPr="00A12313">
        <w:rPr>
          <w:rFonts w:asciiTheme="majorBidi" w:hAnsiTheme="majorBidi" w:cstheme="majorBidi"/>
          <w:lang w:val="en-US"/>
        </w:rPr>
        <w:t>, Journal of Laws 2023, item 1093, as amended).</w:t>
      </w:r>
    </w:p>
  </w:footnote>
  <w:footnote w:id="3">
    <w:p w14:paraId="557CEAB1" w14:textId="32C8C42C" w:rsidR="00782E80" w:rsidRPr="00A12313" w:rsidRDefault="00782E80" w:rsidP="00782E80">
      <w:pPr>
        <w:pStyle w:val="Tekstprzypisudolnego"/>
        <w:jc w:val="both"/>
        <w:rPr>
          <w:rFonts w:asciiTheme="majorBidi" w:hAnsiTheme="majorBidi" w:cstheme="majorBidi"/>
          <w:lang w:val="en-US"/>
        </w:rPr>
      </w:pPr>
      <w:r w:rsidRPr="00A12313">
        <w:rPr>
          <w:rStyle w:val="Odwoanieprzypisudolnego"/>
          <w:rFonts w:asciiTheme="majorBidi" w:hAnsiTheme="majorBidi" w:cstheme="majorBidi"/>
        </w:rPr>
        <w:footnoteRef/>
      </w:r>
      <w:r w:rsidRPr="00A12313">
        <w:rPr>
          <w:rFonts w:asciiTheme="majorBidi" w:hAnsiTheme="majorBidi" w:cstheme="majorBidi"/>
          <w:lang w:val="en-US"/>
        </w:rPr>
        <w:t xml:space="preserve"> </w:t>
      </w:r>
      <w:r>
        <w:rPr>
          <w:rFonts w:asciiTheme="majorBidi" w:hAnsiTheme="majorBidi" w:cstheme="majorBidi"/>
          <w:lang w:val="en-US"/>
        </w:rPr>
        <w:t>Act</w:t>
      </w:r>
      <w:r w:rsidRPr="00A12313">
        <w:rPr>
          <w:rFonts w:asciiTheme="majorBidi" w:hAnsiTheme="majorBidi" w:cstheme="majorBidi"/>
          <w:lang w:val="en-US"/>
        </w:rPr>
        <w:t xml:space="preserve"> </w:t>
      </w:r>
      <w:r w:rsidR="00EC5939" w:rsidRPr="00A12313">
        <w:rPr>
          <w:rFonts w:asciiTheme="majorBidi" w:hAnsiTheme="majorBidi" w:cstheme="majorBidi"/>
          <w:lang w:val="en-US"/>
        </w:rPr>
        <w:t xml:space="preserve">of </w:t>
      </w:r>
      <w:r w:rsidR="00EC5939">
        <w:rPr>
          <w:rFonts w:asciiTheme="majorBidi" w:hAnsiTheme="majorBidi" w:cstheme="majorBidi"/>
          <w:lang w:val="en-US"/>
        </w:rPr>
        <w:t xml:space="preserve">27 </w:t>
      </w:r>
      <w:r w:rsidR="00EC5939" w:rsidRPr="00A12313">
        <w:rPr>
          <w:rFonts w:asciiTheme="majorBidi" w:hAnsiTheme="majorBidi" w:cstheme="majorBidi"/>
          <w:lang w:val="en-US"/>
        </w:rPr>
        <w:t xml:space="preserve">July 2001 </w:t>
      </w:r>
      <w:r w:rsidRPr="00A12313">
        <w:rPr>
          <w:rFonts w:asciiTheme="majorBidi" w:hAnsiTheme="majorBidi" w:cstheme="majorBidi"/>
          <w:lang w:val="en-US"/>
        </w:rPr>
        <w:t xml:space="preserve">on the </w:t>
      </w:r>
      <w:r w:rsidR="00B7375D">
        <w:rPr>
          <w:rFonts w:asciiTheme="majorBidi" w:hAnsiTheme="majorBidi" w:cstheme="majorBidi"/>
          <w:lang w:val="en-US"/>
        </w:rPr>
        <w:t>s</w:t>
      </w:r>
      <w:r w:rsidRPr="00A12313">
        <w:rPr>
          <w:rFonts w:asciiTheme="majorBidi" w:hAnsiTheme="majorBidi" w:cstheme="majorBidi"/>
          <w:lang w:val="en-US"/>
        </w:rPr>
        <w:t>ystem of common courts (</w:t>
      </w:r>
      <w:r>
        <w:rPr>
          <w:rFonts w:asciiTheme="majorBidi" w:hAnsiTheme="majorBidi" w:cstheme="majorBidi"/>
          <w:lang w:val="en-US"/>
        </w:rPr>
        <w:t>consol. text</w:t>
      </w:r>
      <w:r w:rsidRPr="00A12313">
        <w:rPr>
          <w:rFonts w:asciiTheme="majorBidi" w:hAnsiTheme="majorBidi" w:cstheme="majorBidi"/>
          <w:lang w:val="en-US"/>
        </w:rPr>
        <w:t>, Journal of Laws 2023, item 217, as amended).</w:t>
      </w:r>
    </w:p>
  </w:footnote>
  <w:footnote w:id="4">
    <w:p w14:paraId="6078A690" w14:textId="602DA2D5" w:rsidR="00782E80" w:rsidRPr="00A12313" w:rsidRDefault="00782E80" w:rsidP="00782E80">
      <w:pPr>
        <w:pStyle w:val="Tekstprzypisudolnego"/>
        <w:jc w:val="both"/>
        <w:rPr>
          <w:rFonts w:asciiTheme="majorBidi" w:hAnsiTheme="majorBidi" w:cstheme="majorBidi"/>
          <w:lang w:val="en-US"/>
        </w:rPr>
      </w:pPr>
      <w:r w:rsidRPr="00A12313">
        <w:rPr>
          <w:rStyle w:val="Odwoanieprzypisudolnego"/>
          <w:rFonts w:asciiTheme="majorBidi" w:hAnsiTheme="majorBidi" w:cstheme="majorBidi"/>
        </w:rPr>
        <w:footnoteRef/>
      </w:r>
      <w:r w:rsidRPr="00A12313">
        <w:rPr>
          <w:rFonts w:asciiTheme="majorBidi" w:hAnsiTheme="majorBidi" w:cstheme="majorBidi"/>
          <w:lang w:val="en-US"/>
        </w:rPr>
        <w:t xml:space="preserve"> </w:t>
      </w:r>
      <w:r>
        <w:rPr>
          <w:rFonts w:asciiTheme="majorBidi" w:hAnsiTheme="majorBidi" w:cstheme="majorBidi"/>
          <w:lang w:val="en-US"/>
        </w:rPr>
        <w:t>Act</w:t>
      </w:r>
      <w:r w:rsidRPr="00A12313">
        <w:rPr>
          <w:rFonts w:asciiTheme="majorBidi" w:hAnsiTheme="majorBidi" w:cstheme="majorBidi"/>
          <w:lang w:val="en-US"/>
        </w:rPr>
        <w:t xml:space="preserve"> </w:t>
      </w:r>
      <w:r w:rsidR="009256B1" w:rsidRPr="00A12313">
        <w:rPr>
          <w:rFonts w:asciiTheme="majorBidi" w:hAnsiTheme="majorBidi" w:cstheme="majorBidi"/>
          <w:lang w:val="en-US"/>
        </w:rPr>
        <w:t xml:space="preserve">of </w:t>
      </w:r>
      <w:r w:rsidR="009256B1">
        <w:rPr>
          <w:rFonts w:asciiTheme="majorBidi" w:hAnsiTheme="majorBidi" w:cstheme="majorBidi"/>
          <w:lang w:val="en-US"/>
        </w:rPr>
        <w:t xml:space="preserve">20 </w:t>
      </w:r>
      <w:r w:rsidR="009256B1" w:rsidRPr="00A12313">
        <w:rPr>
          <w:rFonts w:asciiTheme="majorBidi" w:hAnsiTheme="majorBidi" w:cstheme="majorBidi"/>
          <w:lang w:val="en-US"/>
        </w:rPr>
        <w:t xml:space="preserve">December 2019 </w:t>
      </w:r>
      <w:r w:rsidRPr="00A12313">
        <w:rPr>
          <w:rFonts w:asciiTheme="majorBidi" w:hAnsiTheme="majorBidi" w:cstheme="majorBidi"/>
          <w:lang w:val="en-US"/>
        </w:rPr>
        <w:t xml:space="preserve">amending the </w:t>
      </w:r>
      <w:r w:rsidR="00B7375D">
        <w:rPr>
          <w:rFonts w:asciiTheme="majorBidi" w:hAnsiTheme="majorBidi" w:cstheme="majorBidi"/>
          <w:lang w:val="en-US"/>
        </w:rPr>
        <w:t>a</w:t>
      </w:r>
      <w:r>
        <w:rPr>
          <w:rFonts w:asciiTheme="majorBidi" w:hAnsiTheme="majorBidi" w:cstheme="majorBidi"/>
          <w:lang w:val="en-US"/>
        </w:rPr>
        <w:t>ct</w:t>
      </w:r>
      <w:r w:rsidRPr="00A12313">
        <w:rPr>
          <w:rFonts w:asciiTheme="majorBidi" w:hAnsiTheme="majorBidi" w:cstheme="majorBidi"/>
          <w:lang w:val="en-US"/>
        </w:rPr>
        <w:t xml:space="preserve"> on the system of common courts, the </w:t>
      </w:r>
      <w:r w:rsidR="00B7375D">
        <w:rPr>
          <w:rFonts w:asciiTheme="majorBidi" w:hAnsiTheme="majorBidi" w:cstheme="majorBidi"/>
          <w:lang w:val="en-US"/>
        </w:rPr>
        <w:t>a</w:t>
      </w:r>
      <w:r>
        <w:rPr>
          <w:rFonts w:asciiTheme="majorBidi" w:hAnsiTheme="majorBidi" w:cstheme="majorBidi"/>
          <w:lang w:val="en-US"/>
        </w:rPr>
        <w:t>ct</w:t>
      </w:r>
      <w:r w:rsidRPr="00A12313">
        <w:rPr>
          <w:rFonts w:asciiTheme="majorBidi" w:hAnsiTheme="majorBidi" w:cstheme="majorBidi"/>
          <w:lang w:val="en-US"/>
        </w:rPr>
        <w:t xml:space="preserve"> on the Supreme Court and some other </w:t>
      </w:r>
      <w:r w:rsidR="00B7375D">
        <w:rPr>
          <w:rFonts w:asciiTheme="majorBidi" w:hAnsiTheme="majorBidi" w:cstheme="majorBidi"/>
          <w:lang w:val="en-US"/>
        </w:rPr>
        <w:t>a</w:t>
      </w:r>
      <w:r>
        <w:rPr>
          <w:rFonts w:asciiTheme="majorBidi" w:hAnsiTheme="majorBidi" w:cstheme="majorBidi"/>
          <w:lang w:val="en-US"/>
        </w:rPr>
        <w:t>cts</w:t>
      </w:r>
      <w:r w:rsidRPr="00A12313">
        <w:rPr>
          <w:rFonts w:asciiTheme="majorBidi" w:hAnsiTheme="majorBidi" w:cstheme="majorBidi"/>
          <w:lang w:val="en-US"/>
        </w:rPr>
        <w:t xml:space="preserve"> (Journal of Laws of 2020, item 190, as amended), Article 1</w:t>
      </w:r>
      <w:r w:rsidR="00AE30B3">
        <w:rPr>
          <w:rFonts w:asciiTheme="majorBidi" w:hAnsiTheme="majorBidi" w:cstheme="majorBidi"/>
          <w:lang w:val="en-US"/>
        </w:rPr>
        <w:t>,</w:t>
      </w:r>
      <w:r w:rsidRPr="00A12313">
        <w:rPr>
          <w:rFonts w:asciiTheme="majorBidi" w:hAnsiTheme="majorBidi" w:cstheme="majorBidi"/>
          <w:lang w:val="en-US"/>
        </w:rPr>
        <w:t xml:space="preserve"> item 32.</w:t>
      </w:r>
    </w:p>
  </w:footnote>
  <w:footnote w:id="5">
    <w:p w14:paraId="547BFA64" w14:textId="184FE561" w:rsidR="00014DF7" w:rsidRPr="00C0279F" w:rsidRDefault="00014DF7" w:rsidP="00014DF7">
      <w:pPr>
        <w:pStyle w:val="Tekstprzypisudolnego"/>
        <w:jc w:val="both"/>
        <w:rPr>
          <w:rFonts w:asciiTheme="majorBidi" w:hAnsiTheme="majorBidi" w:cstheme="majorBidi"/>
          <w:lang w:val="en-US"/>
        </w:rPr>
      </w:pPr>
      <w:r>
        <w:rPr>
          <w:rStyle w:val="Odwoanieprzypisudolnego"/>
        </w:rPr>
        <w:footnoteRef/>
      </w:r>
      <w:r w:rsidRPr="00C0279F">
        <w:rPr>
          <w:lang w:val="en-US"/>
        </w:rPr>
        <w:t xml:space="preserve"> </w:t>
      </w:r>
      <w:r w:rsidRPr="00C23396">
        <w:rPr>
          <w:rFonts w:asciiTheme="majorBidi" w:hAnsiTheme="majorBidi" w:cstheme="majorBidi"/>
          <w:color w:val="000000" w:themeColor="text1"/>
          <w:lang w:val="en-US"/>
        </w:rPr>
        <w:t xml:space="preserve">See, e.g., </w:t>
      </w:r>
      <w:r w:rsidRPr="00C23396">
        <w:rPr>
          <w:rFonts w:asciiTheme="majorBidi" w:hAnsiTheme="majorBidi" w:cstheme="majorBidi"/>
          <w:color w:val="000000" w:themeColor="text1"/>
          <w:shd w:val="clear" w:color="auto" w:fill="FFFFFF"/>
          <w:lang w:val="en-US"/>
        </w:rPr>
        <w:t xml:space="preserve">Judgement of the CJEU of 15 July 2021 in the case C-791/19; </w:t>
      </w:r>
      <w:r w:rsidRPr="00C23396">
        <w:rPr>
          <w:rStyle w:val="Uwydatnienie"/>
          <w:rFonts w:asciiTheme="majorBidi" w:hAnsiTheme="majorBidi" w:cstheme="majorBidi"/>
          <w:i w:val="0"/>
          <w:iCs w:val="0"/>
          <w:color w:val="000000" w:themeColor="text1"/>
          <w:shd w:val="clear" w:color="auto" w:fill="FFFFFF"/>
          <w:lang w:val="en-US"/>
        </w:rPr>
        <w:t>Judgment of the</w:t>
      </w:r>
      <w:r w:rsidRPr="00C23396">
        <w:rPr>
          <w:rFonts w:asciiTheme="majorBidi" w:hAnsiTheme="majorBidi" w:cstheme="majorBidi"/>
          <w:color w:val="000000" w:themeColor="text1"/>
          <w:shd w:val="clear" w:color="auto" w:fill="FFFFFF"/>
          <w:lang w:val="en-US"/>
        </w:rPr>
        <w:t> ECHR of </w:t>
      </w:r>
      <w:r w:rsidRPr="00C23396">
        <w:rPr>
          <w:rStyle w:val="Uwydatnienie"/>
          <w:rFonts w:asciiTheme="majorBidi" w:hAnsiTheme="majorBidi" w:cstheme="majorBidi"/>
          <w:i w:val="0"/>
          <w:iCs w:val="0"/>
          <w:color w:val="000000" w:themeColor="text1"/>
          <w:shd w:val="clear" w:color="auto" w:fill="FFFFFF"/>
          <w:lang w:val="en-US"/>
        </w:rPr>
        <w:t>22 July 2021</w:t>
      </w:r>
      <w:r w:rsidRPr="00C23396">
        <w:rPr>
          <w:rFonts w:asciiTheme="majorBidi" w:hAnsiTheme="majorBidi" w:cstheme="majorBidi"/>
          <w:color w:val="000000" w:themeColor="text1"/>
          <w:shd w:val="clear" w:color="auto" w:fill="FFFFFF"/>
          <w:lang w:val="en-US"/>
        </w:rPr>
        <w:t>, </w:t>
      </w:r>
      <w:r w:rsidRPr="00B72AD7">
        <w:rPr>
          <w:rStyle w:val="Uwydatnienie"/>
          <w:rFonts w:asciiTheme="majorBidi" w:hAnsiTheme="majorBidi" w:cstheme="majorBidi"/>
          <w:color w:val="000000" w:themeColor="text1"/>
          <w:shd w:val="clear" w:color="auto" w:fill="FFFFFF"/>
          <w:lang w:val="en-US"/>
        </w:rPr>
        <w:t>Reczkowicz</w:t>
      </w:r>
      <w:r w:rsidRPr="000334FA">
        <w:rPr>
          <w:rFonts w:asciiTheme="majorBidi" w:hAnsiTheme="majorBidi" w:cstheme="majorBidi"/>
          <w:iCs/>
          <w:color w:val="000000" w:themeColor="text1"/>
          <w:shd w:val="clear" w:color="auto" w:fill="FFFFFF"/>
          <w:lang w:val="en-US"/>
        </w:rPr>
        <w:t> v. </w:t>
      </w:r>
      <w:r w:rsidRPr="00B72AD7">
        <w:rPr>
          <w:rStyle w:val="Uwydatnienie"/>
          <w:rFonts w:asciiTheme="majorBidi" w:hAnsiTheme="majorBidi" w:cstheme="majorBidi"/>
          <w:color w:val="000000" w:themeColor="text1"/>
          <w:shd w:val="clear" w:color="auto" w:fill="FFFFFF"/>
          <w:lang w:val="en-US"/>
        </w:rPr>
        <w:t>Poland</w:t>
      </w:r>
      <w:r w:rsidRPr="00C23396">
        <w:rPr>
          <w:rStyle w:val="Uwydatnienie"/>
          <w:rFonts w:asciiTheme="majorBidi" w:hAnsiTheme="majorBidi" w:cstheme="majorBidi"/>
          <w:i w:val="0"/>
          <w:iCs w:val="0"/>
          <w:color w:val="000000" w:themeColor="text1"/>
          <w:shd w:val="clear" w:color="auto" w:fill="FFFFFF"/>
          <w:lang w:val="en-US"/>
        </w:rPr>
        <w:t xml:space="preserve">, </w:t>
      </w:r>
      <w:r w:rsidRPr="00C23396">
        <w:rPr>
          <w:rFonts w:asciiTheme="majorBidi" w:hAnsiTheme="majorBidi" w:cstheme="majorBidi"/>
          <w:color w:val="000000" w:themeColor="text1"/>
          <w:sz w:val="21"/>
          <w:szCs w:val="21"/>
          <w:shd w:val="clear" w:color="auto" w:fill="FFFFFF"/>
          <w:lang w:val="en-US"/>
        </w:rPr>
        <w:t>43447/19</w:t>
      </w:r>
      <w:r w:rsidR="00207938">
        <w:rPr>
          <w:rFonts w:asciiTheme="majorBidi" w:hAnsiTheme="majorBidi" w:cstheme="majorBidi"/>
          <w:color w:val="000000" w:themeColor="text1"/>
          <w:sz w:val="21"/>
          <w:szCs w:val="21"/>
          <w:shd w:val="clear" w:color="auto" w:fill="FFFFFF"/>
          <w:lang w:val="en-US"/>
        </w:rPr>
        <w:t>, HUDOC</w:t>
      </w:r>
      <w:r w:rsidRPr="00C23396">
        <w:rPr>
          <w:rFonts w:asciiTheme="majorBidi" w:hAnsiTheme="majorBidi" w:cstheme="majorBidi"/>
          <w:color w:val="000000" w:themeColor="text1"/>
          <w:sz w:val="21"/>
          <w:szCs w:val="21"/>
          <w:shd w:val="clear" w:color="auto" w:fill="FFFFFF"/>
          <w:lang w:val="en-US"/>
        </w:rPr>
        <w:t>; Resolution of a formation of the combined Chambers of Civil, Criminal and Labor and Social Insurance of the Supreme Court of January 23, 2020, BSA I-4110-1/20</w:t>
      </w:r>
      <w:r w:rsidRPr="00C0279F">
        <w:rPr>
          <w:rFonts w:asciiTheme="majorBidi" w:hAnsiTheme="majorBidi" w:cstheme="majorBidi"/>
          <w:lang w:val="en-US"/>
        </w:rPr>
        <w:t>.</w:t>
      </w:r>
    </w:p>
  </w:footnote>
  <w:footnote w:id="6">
    <w:p w14:paraId="5FA82BDC" w14:textId="043E0288" w:rsidR="00782E80" w:rsidRPr="00C0279F" w:rsidRDefault="00782E80" w:rsidP="00782E80">
      <w:pPr>
        <w:pStyle w:val="Tekstprzypisudolnego"/>
        <w:jc w:val="both"/>
        <w:rPr>
          <w:rFonts w:asciiTheme="majorBidi" w:hAnsiTheme="majorBidi" w:cstheme="majorBidi"/>
          <w:lang w:val="en-US"/>
        </w:rPr>
      </w:pPr>
      <w:r>
        <w:rPr>
          <w:rStyle w:val="Odwoanieprzypisudolnego"/>
        </w:rPr>
        <w:footnoteRef/>
      </w:r>
      <w:r>
        <w:rPr>
          <w:rFonts w:asciiTheme="majorBidi" w:hAnsiTheme="majorBidi" w:cstheme="majorBidi"/>
          <w:color w:val="000000" w:themeColor="text1"/>
          <w:lang w:val="en-US"/>
        </w:rPr>
        <w:t xml:space="preserve"> </w:t>
      </w:r>
      <w:r>
        <w:rPr>
          <w:rFonts w:asciiTheme="majorBidi" w:hAnsiTheme="majorBidi" w:cstheme="majorBidi"/>
          <w:lang w:val="en-US"/>
        </w:rPr>
        <w:t>Act</w:t>
      </w:r>
      <w:r w:rsidRPr="00C0279F">
        <w:rPr>
          <w:rFonts w:asciiTheme="majorBidi" w:hAnsiTheme="majorBidi" w:cstheme="majorBidi"/>
          <w:lang w:val="en-US"/>
        </w:rPr>
        <w:t xml:space="preserve"> of </w:t>
      </w:r>
      <w:r>
        <w:rPr>
          <w:rFonts w:asciiTheme="majorBidi" w:hAnsiTheme="majorBidi" w:cstheme="majorBidi"/>
          <w:lang w:val="en-US"/>
        </w:rPr>
        <w:t xml:space="preserve">9 </w:t>
      </w:r>
      <w:r w:rsidRPr="00C0279F">
        <w:rPr>
          <w:rFonts w:asciiTheme="majorBidi" w:hAnsiTheme="majorBidi" w:cstheme="majorBidi"/>
          <w:lang w:val="en-US"/>
        </w:rPr>
        <w:t xml:space="preserve">June 2022 amending the </w:t>
      </w:r>
      <w:r>
        <w:rPr>
          <w:rFonts w:asciiTheme="majorBidi" w:hAnsiTheme="majorBidi" w:cstheme="majorBidi"/>
          <w:lang w:val="en-US"/>
        </w:rPr>
        <w:t>Act</w:t>
      </w:r>
      <w:r w:rsidRPr="00C0279F">
        <w:rPr>
          <w:rFonts w:asciiTheme="majorBidi" w:hAnsiTheme="majorBidi" w:cstheme="majorBidi"/>
          <w:lang w:val="en-US"/>
        </w:rPr>
        <w:t xml:space="preserve"> on the Supreme Court and </w:t>
      </w:r>
      <w:r w:rsidR="00AA26B9">
        <w:rPr>
          <w:rFonts w:asciiTheme="majorBidi" w:hAnsiTheme="majorBidi" w:cstheme="majorBidi"/>
          <w:lang w:val="en-US"/>
        </w:rPr>
        <w:t>some</w:t>
      </w:r>
      <w:r w:rsidRPr="00C0279F">
        <w:rPr>
          <w:rFonts w:asciiTheme="majorBidi" w:hAnsiTheme="majorBidi" w:cstheme="majorBidi"/>
          <w:lang w:val="en-US"/>
        </w:rPr>
        <w:t xml:space="preserve"> other </w:t>
      </w:r>
      <w:r>
        <w:rPr>
          <w:rFonts w:asciiTheme="majorBidi" w:hAnsiTheme="majorBidi" w:cstheme="majorBidi"/>
          <w:lang w:val="en-US"/>
        </w:rPr>
        <w:t>Acts</w:t>
      </w:r>
      <w:r w:rsidRPr="00C0279F">
        <w:rPr>
          <w:rFonts w:asciiTheme="majorBidi" w:hAnsiTheme="majorBidi" w:cstheme="majorBidi"/>
          <w:lang w:val="en-US"/>
        </w:rPr>
        <w:t xml:space="preserve"> (Journal of Laws, item 1259).</w:t>
      </w:r>
    </w:p>
  </w:footnote>
  <w:footnote w:id="7">
    <w:p w14:paraId="46F98BAD" w14:textId="3F9046E6" w:rsidR="00782E80" w:rsidRPr="00AF1C20" w:rsidRDefault="00782E80" w:rsidP="00782E80">
      <w:pPr>
        <w:pStyle w:val="Tekstprzypisudolnego"/>
        <w:jc w:val="both"/>
        <w:rPr>
          <w:lang w:val="en-US"/>
        </w:rPr>
      </w:pPr>
      <w:r>
        <w:rPr>
          <w:rStyle w:val="Odwoanieprzypisudolnego"/>
        </w:rPr>
        <w:footnoteRef/>
      </w:r>
      <w:r w:rsidRPr="00AF1C20">
        <w:rPr>
          <w:lang w:val="en-US"/>
        </w:rPr>
        <w:t xml:space="preserve"> </w:t>
      </w:r>
      <w:r w:rsidRPr="00AF1C20">
        <w:rPr>
          <w:rFonts w:asciiTheme="majorBidi" w:hAnsiTheme="majorBidi" w:cstheme="majorBidi"/>
          <w:lang w:val="en-US"/>
        </w:rPr>
        <w:t>See, e.g.,</w:t>
      </w:r>
      <w:r>
        <w:rPr>
          <w:lang w:val="en-US"/>
        </w:rPr>
        <w:t xml:space="preserve"> </w:t>
      </w:r>
      <w:r w:rsidRPr="00AF1C20">
        <w:rPr>
          <w:rFonts w:asciiTheme="majorBidi" w:hAnsiTheme="majorBidi" w:cstheme="majorBidi"/>
          <w:lang w:val="en-US"/>
        </w:rPr>
        <w:t xml:space="preserve">K. Lipinski, </w:t>
      </w:r>
      <w:r w:rsidRPr="00AF1C20">
        <w:rPr>
          <w:rFonts w:asciiTheme="majorBidi" w:hAnsiTheme="majorBidi" w:cstheme="majorBidi"/>
          <w:i/>
          <w:iCs/>
          <w:lang w:val="en-US"/>
        </w:rPr>
        <w:t xml:space="preserve">Statutory test of independence and impartiality of a judge in criminal cases </w:t>
      </w:r>
      <w:r>
        <w:rPr>
          <w:rFonts w:asciiTheme="majorBidi" w:hAnsiTheme="majorBidi" w:cstheme="majorBidi"/>
          <w:lang w:val="en-US"/>
        </w:rPr>
        <w:t>[</w:t>
      </w:r>
      <w:r w:rsidRPr="000D00CF">
        <w:rPr>
          <w:rFonts w:asciiTheme="majorBidi" w:hAnsiTheme="majorBidi" w:cstheme="majorBidi"/>
          <w:i/>
          <w:iCs/>
          <w:lang w:val="en-US"/>
        </w:rPr>
        <w:t>Ustawowy test niezawisłości i bezstronności sędziego w sprawach karnych</w:t>
      </w:r>
      <w:r>
        <w:rPr>
          <w:rFonts w:asciiTheme="majorBidi" w:hAnsiTheme="majorBidi" w:cstheme="majorBidi"/>
          <w:lang w:val="en-US"/>
        </w:rPr>
        <w:t>]</w:t>
      </w:r>
      <w:r w:rsidRPr="00AF1C20">
        <w:rPr>
          <w:rFonts w:asciiTheme="majorBidi" w:hAnsiTheme="majorBidi" w:cstheme="majorBidi"/>
          <w:lang w:val="en-US"/>
        </w:rPr>
        <w:t xml:space="preserve">, "Palestra" </w:t>
      </w:r>
      <w:r>
        <w:rPr>
          <w:rFonts w:asciiTheme="majorBidi" w:hAnsiTheme="majorBidi" w:cstheme="majorBidi"/>
          <w:lang w:val="en-US"/>
        </w:rPr>
        <w:t xml:space="preserve">2022, No. </w:t>
      </w:r>
      <w:r w:rsidRPr="00AF1C20">
        <w:rPr>
          <w:rFonts w:asciiTheme="majorBidi" w:hAnsiTheme="majorBidi" w:cstheme="majorBidi"/>
          <w:lang w:val="en-US"/>
        </w:rPr>
        <w:t>10</w:t>
      </w:r>
      <w:r w:rsidR="00AA1CFD">
        <w:rPr>
          <w:rFonts w:asciiTheme="majorBidi" w:hAnsiTheme="majorBidi" w:cstheme="majorBidi"/>
          <w:lang w:val="en-US"/>
        </w:rPr>
        <w:t xml:space="preserve">; </w:t>
      </w:r>
      <w:r w:rsidRPr="00AF1C20">
        <w:rPr>
          <w:rFonts w:asciiTheme="majorBidi" w:hAnsiTheme="majorBidi" w:cstheme="majorBidi"/>
          <w:lang w:val="en-US"/>
        </w:rPr>
        <w:t>https://palestra.pl/pl/czasopismo/wydanie/10-2022/artykul/ustawowy-test-niezawislosci-i-bezstronnosci-sedziego-w-sprawach-karnych (accessed 26.01.2024).</w:t>
      </w:r>
    </w:p>
  </w:footnote>
  <w:footnote w:id="8">
    <w:p w14:paraId="49C787C4" w14:textId="6A59A395" w:rsidR="00AE61C9" w:rsidRPr="0072121E" w:rsidRDefault="00924085" w:rsidP="00B7375D">
      <w:pPr>
        <w:pStyle w:val="Tekstprzypisudolnego"/>
        <w:jc w:val="both"/>
        <w:rPr>
          <w:rFonts w:asciiTheme="majorBidi" w:hAnsiTheme="majorBidi" w:cstheme="majorBidi"/>
          <w:lang w:val="en-US"/>
        </w:rPr>
      </w:pPr>
      <w:r>
        <w:rPr>
          <w:rStyle w:val="Odwoanieprzypisudolnego"/>
        </w:rPr>
        <w:footnoteRef/>
      </w:r>
      <w:r w:rsidR="00686DFF">
        <w:rPr>
          <w:rFonts w:asciiTheme="majorBidi" w:hAnsiTheme="majorBidi" w:cstheme="majorBidi"/>
          <w:sz w:val="18"/>
          <w:szCs w:val="18"/>
          <w:lang w:val="en-US"/>
        </w:rPr>
        <w:t xml:space="preserve"> </w:t>
      </w:r>
      <w:hyperlink r:id="rId1" w:history="1">
        <w:r w:rsidR="0066071A" w:rsidRPr="000975BB">
          <w:rPr>
            <w:rStyle w:val="Hipercze"/>
            <w:rFonts w:asciiTheme="majorBidi" w:hAnsiTheme="majorBidi" w:cstheme="majorBidi"/>
            <w:sz w:val="18"/>
            <w:szCs w:val="18"/>
            <w:lang w:val="en-US"/>
          </w:rPr>
          <w:t>https://www.sn.pl/sprawy/Statystyka_IOZ/Stat_IO_2023.pdf</w:t>
        </w:r>
      </w:hyperlink>
      <w:r w:rsidR="0072121E" w:rsidRPr="00794995">
        <w:rPr>
          <w:rFonts w:asciiTheme="majorBidi" w:hAnsiTheme="majorBidi" w:cstheme="majorBidi"/>
          <w:sz w:val="18"/>
          <w:szCs w:val="18"/>
          <w:lang w:val="en-US"/>
        </w:rPr>
        <w:t>;</w:t>
      </w:r>
      <w:hyperlink r:id="rId2" w:history="1">
        <w:r w:rsidR="0072121E" w:rsidRPr="00794995">
          <w:rPr>
            <w:rStyle w:val="Hipercze"/>
            <w:rFonts w:asciiTheme="majorBidi" w:hAnsiTheme="majorBidi" w:cstheme="majorBidi"/>
            <w:sz w:val="18"/>
            <w:szCs w:val="18"/>
            <w:lang w:val="en-US"/>
          </w:rPr>
          <w:t>https://www.sn.pl/sprawy/Statystyka_IOZ/Stat_IO_2022.pdf</w:t>
        </w:r>
      </w:hyperlink>
      <w:r w:rsidR="0072121E">
        <w:rPr>
          <w:lang w:val="en-US"/>
        </w:rPr>
        <w:t xml:space="preserve"> </w:t>
      </w:r>
      <w:r w:rsidR="0072121E" w:rsidRPr="00AF1C20">
        <w:rPr>
          <w:rFonts w:asciiTheme="majorBidi" w:hAnsiTheme="majorBidi" w:cstheme="majorBidi"/>
          <w:lang w:val="en-US"/>
        </w:rPr>
        <w:t>(accessed 26.01.2024).</w:t>
      </w:r>
    </w:p>
    <w:p w14:paraId="09096864" w14:textId="06B04BFD" w:rsidR="00924085" w:rsidRPr="0072121E" w:rsidRDefault="00924085" w:rsidP="00B7375D">
      <w:pPr>
        <w:pStyle w:val="Tekstprzypisudolnego"/>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646"/>
    <w:multiLevelType w:val="hybridMultilevel"/>
    <w:tmpl w:val="165C405C"/>
    <w:lvl w:ilvl="0" w:tplc="A0BE1C10">
      <w:start w:val="5"/>
      <w:numFmt w:val="bullet"/>
      <w:lvlText w:val=""/>
      <w:lvlJc w:val="left"/>
      <w:pPr>
        <w:ind w:left="720" w:hanging="360"/>
      </w:pPr>
      <w:rPr>
        <w:rFonts w:ascii="Symbol" w:eastAsiaTheme="minorHAnsi" w:hAnsi="Symbol"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2472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97"/>
    <w:rsid w:val="00003666"/>
    <w:rsid w:val="00014DF7"/>
    <w:rsid w:val="000334FA"/>
    <w:rsid w:val="0005426E"/>
    <w:rsid w:val="00061A9A"/>
    <w:rsid w:val="00081EBE"/>
    <w:rsid w:val="000A0C1B"/>
    <w:rsid w:val="000A6DA3"/>
    <w:rsid w:val="000B6441"/>
    <w:rsid w:val="000E51B7"/>
    <w:rsid w:val="000E6C02"/>
    <w:rsid w:val="000F3BAC"/>
    <w:rsid w:val="000F7EE0"/>
    <w:rsid w:val="00100E92"/>
    <w:rsid w:val="001065FE"/>
    <w:rsid w:val="00114FE4"/>
    <w:rsid w:val="001357F1"/>
    <w:rsid w:val="001402BB"/>
    <w:rsid w:val="00160522"/>
    <w:rsid w:val="00174145"/>
    <w:rsid w:val="001D021B"/>
    <w:rsid w:val="001D313D"/>
    <w:rsid w:val="001D33E7"/>
    <w:rsid w:val="001D358B"/>
    <w:rsid w:val="001E204A"/>
    <w:rsid w:val="001F5D16"/>
    <w:rsid w:val="00207938"/>
    <w:rsid w:val="00221D95"/>
    <w:rsid w:val="00264D3E"/>
    <w:rsid w:val="00293473"/>
    <w:rsid w:val="002948CD"/>
    <w:rsid w:val="002C6A80"/>
    <w:rsid w:val="0030733A"/>
    <w:rsid w:val="00311F1A"/>
    <w:rsid w:val="00331FD7"/>
    <w:rsid w:val="00340415"/>
    <w:rsid w:val="00362247"/>
    <w:rsid w:val="00366A8A"/>
    <w:rsid w:val="00367637"/>
    <w:rsid w:val="00373077"/>
    <w:rsid w:val="003764F0"/>
    <w:rsid w:val="00390566"/>
    <w:rsid w:val="003D33B9"/>
    <w:rsid w:val="003F0939"/>
    <w:rsid w:val="004053A1"/>
    <w:rsid w:val="004144FB"/>
    <w:rsid w:val="00437C55"/>
    <w:rsid w:val="004407B5"/>
    <w:rsid w:val="00472EA3"/>
    <w:rsid w:val="00474BE9"/>
    <w:rsid w:val="004763C1"/>
    <w:rsid w:val="00495F12"/>
    <w:rsid w:val="004C7D84"/>
    <w:rsid w:val="004F19CF"/>
    <w:rsid w:val="00513EA4"/>
    <w:rsid w:val="0052548E"/>
    <w:rsid w:val="00594F27"/>
    <w:rsid w:val="005A1820"/>
    <w:rsid w:val="005A276F"/>
    <w:rsid w:val="005B6C03"/>
    <w:rsid w:val="005C7ED9"/>
    <w:rsid w:val="005D2C37"/>
    <w:rsid w:val="005D6FFC"/>
    <w:rsid w:val="00612DDE"/>
    <w:rsid w:val="00613891"/>
    <w:rsid w:val="0062138E"/>
    <w:rsid w:val="006317AA"/>
    <w:rsid w:val="00643D16"/>
    <w:rsid w:val="00653A31"/>
    <w:rsid w:val="0066071A"/>
    <w:rsid w:val="00683ED2"/>
    <w:rsid w:val="00686DFF"/>
    <w:rsid w:val="00697B0D"/>
    <w:rsid w:val="006E6F13"/>
    <w:rsid w:val="006F5B80"/>
    <w:rsid w:val="0072121E"/>
    <w:rsid w:val="00721BAF"/>
    <w:rsid w:val="00740AF7"/>
    <w:rsid w:val="00742E20"/>
    <w:rsid w:val="0076047A"/>
    <w:rsid w:val="00782E80"/>
    <w:rsid w:val="00785B09"/>
    <w:rsid w:val="00794995"/>
    <w:rsid w:val="007A0B85"/>
    <w:rsid w:val="007B7B2D"/>
    <w:rsid w:val="007F6FA2"/>
    <w:rsid w:val="00806A90"/>
    <w:rsid w:val="00834FA7"/>
    <w:rsid w:val="008770B3"/>
    <w:rsid w:val="00883AC5"/>
    <w:rsid w:val="008A2C4E"/>
    <w:rsid w:val="008A5D31"/>
    <w:rsid w:val="008E3DA5"/>
    <w:rsid w:val="008E78D8"/>
    <w:rsid w:val="008F56D8"/>
    <w:rsid w:val="0092165D"/>
    <w:rsid w:val="009229EF"/>
    <w:rsid w:val="00924085"/>
    <w:rsid w:val="009249D4"/>
    <w:rsid w:val="009256B1"/>
    <w:rsid w:val="00931567"/>
    <w:rsid w:val="00960A92"/>
    <w:rsid w:val="009927A5"/>
    <w:rsid w:val="00995AEB"/>
    <w:rsid w:val="009964E4"/>
    <w:rsid w:val="009D0F1D"/>
    <w:rsid w:val="009D33FB"/>
    <w:rsid w:val="009E3975"/>
    <w:rsid w:val="009E3BDE"/>
    <w:rsid w:val="009F2645"/>
    <w:rsid w:val="00A026E5"/>
    <w:rsid w:val="00A12313"/>
    <w:rsid w:val="00A23D2B"/>
    <w:rsid w:val="00A62202"/>
    <w:rsid w:val="00A93405"/>
    <w:rsid w:val="00AA1CFD"/>
    <w:rsid w:val="00AA26B9"/>
    <w:rsid w:val="00AB1308"/>
    <w:rsid w:val="00AE159D"/>
    <w:rsid w:val="00AE30B3"/>
    <w:rsid w:val="00AE61C9"/>
    <w:rsid w:val="00AF1C20"/>
    <w:rsid w:val="00B118FD"/>
    <w:rsid w:val="00B56EA1"/>
    <w:rsid w:val="00B6404D"/>
    <w:rsid w:val="00B72197"/>
    <w:rsid w:val="00B7375D"/>
    <w:rsid w:val="00B95119"/>
    <w:rsid w:val="00BA15DC"/>
    <w:rsid w:val="00BA5773"/>
    <w:rsid w:val="00BF54AF"/>
    <w:rsid w:val="00C025D0"/>
    <w:rsid w:val="00C0279F"/>
    <w:rsid w:val="00C068B8"/>
    <w:rsid w:val="00C100CE"/>
    <w:rsid w:val="00C15D18"/>
    <w:rsid w:val="00C22296"/>
    <w:rsid w:val="00C23396"/>
    <w:rsid w:val="00C43181"/>
    <w:rsid w:val="00C666C0"/>
    <w:rsid w:val="00D10286"/>
    <w:rsid w:val="00D23764"/>
    <w:rsid w:val="00D35E97"/>
    <w:rsid w:val="00D47903"/>
    <w:rsid w:val="00D96E74"/>
    <w:rsid w:val="00DC4955"/>
    <w:rsid w:val="00DD0DC8"/>
    <w:rsid w:val="00DD1574"/>
    <w:rsid w:val="00DE04F4"/>
    <w:rsid w:val="00DF2358"/>
    <w:rsid w:val="00DF3BDF"/>
    <w:rsid w:val="00E945A5"/>
    <w:rsid w:val="00E94B3A"/>
    <w:rsid w:val="00EB783A"/>
    <w:rsid w:val="00EC5939"/>
    <w:rsid w:val="00EC7621"/>
    <w:rsid w:val="00ED6427"/>
    <w:rsid w:val="00EE0278"/>
    <w:rsid w:val="00F54B3E"/>
    <w:rsid w:val="00F70479"/>
    <w:rsid w:val="00F86778"/>
    <w:rsid w:val="00FA4492"/>
    <w:rsid w:val="00FD57B8"/>
    <w:rsid w:val="00FE0FAC"/>
    <w:rsid w:val="00FE32D1"/>
    <w:rsid w:val="00FF71D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BD3F0"/>
  <w15:chartTrackingRefBased/>
  <w15:docId w15:val="{FE71F143-944F-4CC6-90F4-B33BA061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13EA4"/>
    <w:rPr>
      <w:color w:val="0563C1" w:themeColor="hyperlink"/>
      <w:u w:val="single"/>
    </w:rPr>
  </w:style>
  <w:style w:type="character" w:styleId="Nierozpoznanawzmianka">
    <w:name w:val="Unresolved Mention"/>
    <w:basedOn w:val="Domylnaczcionkaakapitu"/>
    <w:uiPriority w:val="99"/>
    <w:semiHidden/>
    <w:unhideWhenUsed/>
    <w:rsid w:val="00513EA4"/>
    <w:rPr>
      <w:color w:val="605E5C"/>
      <w:shd w:val="clear" w:color="auto" w:fill="E1DFDD"/>
    </w:rPr>
  </w:style>
  <w:style w:type="paragraph" w:styleId="Tekstprzypisudolnego">
    <w:name w:val="footnote text"/>
    <w:basedOn w:val="Normalny"/>
    <w:link w:val="TekstprzypisudolnegoZnak"/>
    <w:uiPriority w:val="99"/>
    <w:semiHidden/>
    <w:unhideWhenUsed/>
    <w:rsid w:val="0030733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733A"/>
    <w:rPr>
      <w:sz w:val="20"/>
      <w:szCs w:val="20"/>
    </w:rPr>
  </w:style>
  <w:style w:type="character" w:styleId="Odwoanieprzypisudolnego">
    <w:name w:val="footnote reference"/>
    <w:basedOn w:val="Domylnaczcionkaakapitu"/>
    <w:uiPriority w:val="99"/>
    <w:semiHidden/>
    <w:unhideWhenUsed/>
    <w:rsid w:val="0030733A"/>
    <w:rPr>
      <w:vertAlign w:val="superscript"/>
    </w:rPr>
  </w:style>
  <w:style w:type="paragraph" w:styleId="Akapitzlist">
    <w:name w:val="List Paragraph"/>
    <w:basedOn w:val="Normalny"/>
    <w:uiPriority w:val="34"/>
    <w:qFormat/>
    <w:rsid w:val="00C15D18"/>
    <w:pPr>
      <w:ind w:left="720"/>
      <w:contextualSpacing/>
    </w:pPr>
  </w:style>
  <w:style w:type="character" w:styleId="Uwydatnienie">
    <w:name w:val="Emphasis"/>
    <w:basedOn w:val="Domylnaczcionkaakapitu"/>
    <w:uiPriority w:val="20"/>
    <w:qFormat/>
    <w:rsid w:val="00C23396"/>
    <w:rPr>
      <w:i/>
      <w:iCs/>
    </w:rPr>
  </w:style>
  <w:style w:type="paragraph" w:styleId="Poprawka">
    <w:name w:val="Revision"/>
    <w:hidden/>
    <w:uiPriority w:val="99"/>
    <w:semiHidden/>
    <w:rsid w:val="007A0B85"/>
    <w:pPr>
      <w:spacing w:after="0" w:line="240" w:lineRule="auto"/>
    </w:pPr>
  </w:style>
  <w:style w:type="paragraph" w:styleId="Nagwek">
    <w:name w:val="header"/>
    <w:basedOn w:val="Normalny"/>
    <w:link w:val="NagwekZnak"/>
    <w:uiPriority w:val="99"/>
    <w:unhideWhenUsed/>
    <w:rsid w:val="006E6F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6F13"/>
  </w:style>
  <w:style w:type="paragraph" w:styleId="Stopka">
    <w:name w:val="footer"/>
    <w:basedOn w:val="Normalny"/>
    <w:link w:val="StopkaZnak"/>
    <w:uiPriority w:val="99"/>
    <w:unhideWhenUsed/>
    <w:rsid w:val="006E6F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6F13"/>
  </w:style>
  <w:style w:type="character" w:styleId="Odwoaniedokomentarza">
    <w:name w:val="annotation reference"/>
    <w:basedOn w:val="Domylnaczcionkaakapitu"/>
    <w:uiPriority w:val="99"/>
    <w:semiHidden/>
    <w:unhideWhenUsed/>
    <w:rsid w:val="00014DF7"/>
    <w:rPr>
      <w:sz w:val="16"/>
      <w:szCs w:val="16"/>
    </w:rPr>
  </w:style>
  <w:style w:type="paragraph" w:styleId="Tekstkomentarza">
    <w:name w:val="annotation text"/>
    <w:basedOn w:val="Normalny"/>
    <w:link w:val="TekstkomentarzaZnak"/>
    <w:uiPriority w:val="99"/>
    <w:semiHidden/>
    <w:unhideWhenUsed/>
    <w:rsid w:val="00014D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DF7"/>
    <w:rPr>
      <w:sz w:val="20"/>
      <w:szCs w:val="20"/>
    </w:rPr>
  </w:style>
  <w:style w:type="paragraph" w:styleId="Tematkomentarza">
    <w:name w:val="annotation subject"/>
    <w:basedOn w:val="Tekstkomentarza"/>
    <w:next w:val="Tekstkomentarza"/>
    <w:link w:val="TematkomentarzaZnak"/>
    <w:uiPriority w:val="99"/>
    <w:semiHidden/>
    <w:unhideWhenUsed/>
    <w:rsid w:val="00014DF7"/>
    <w:rPr>
      <w:b/>
      <w:bCs/>
    </w:rPr>
  </w:style>
  <w:style w:type="character" w:customStyle="1" w:styleId="TematkomentarzaZnak">
    <w:name w:val="Temat komentarza Znak"/>
    <w:basedOn w:val="TekstkomentarzaZnak"/>
    <w:link w:val="Tematkomentarza"/>
    <w:uiPriority w:val="99"/>
    <w:semiHidden/>
    <w:rsid w:val="00014D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n.pl/sprawy/Statystyka_IOZ/Stat_IO_2022.pdf" TargetMode="External"/><Relationship Id="rId1" Type="http://schemas.openxmlformats.org/officeDocument/2006/relationships/hyperlink" Target="https://www.sn.pl/sprawy/Statystyka_IOZ/Stat_IO_2023.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394E5-0E60-4A89-8B1C-817C6A83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841</Words>
  <Characters>5051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Hanusek</dc:creator>
  <cp:keywords/>
  <dc:description/>
  <cp:lastModifiedBy>Natalia Hanusek</cp:lastModifiedBy>
  <cp:revision>71</cp:revision>
  <dcterms:created xsi:type="dcterms:W3CDTF">2024-03-14T22:08:00Z</dcterms:created>
  <dcterms:modified xsi:type="dcterms:W3CDTF">2024-04-06T12:25:00Z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080b2d16f075a3293c239f0a52db67433a2179ed70d538f3c85ef51a4de1e7c0</vt:lpwstr>
  </property>
</Properties>
</file>