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FFFC" w14:textId="44A6D6C9" w:rsidR="003A584F" w:rsidRPr="00D9246F" w:rsidRDefault="003A584F" w:rsidP="00D9246F">
      <w:pPr>
        <w:spacing w:after="0" w:line="360" w:lineRule="auto"/>
        <w:jc w:val="center"/>
        <w:rPr>
          <w:rFonts w:ascii="Cambria" w:hAnsi="Cambria"/>
          <w:b/>
          <w:bCs/>
          <w:sz w:val="28"/>
          <w:szCs w:val="28"/>
          <w:lang w:val="en-GB"/>
        </w:rPr>
      </w:pPr>
      <w:r w:rsidRPr="00D9246F">
        <w:rPr>
          <w:rFonts w:ascii="Cambria" w:hAnsi="Cambria"/>
          <w:b/>
          <w:bCs/>
          <w:sz w:val="28"/>
          <w:szCs w:val="28"/>
          <w:lang w:val="en-GB"/>
        </w:rPr>
        <w:t>The current structure of the Polish NCJ and the standards of its impartiality according to the judgment of the Court of Justice of the European Union in joined cases C-585/18, C-624/18 and C-625/18</w:t>
      </w:r>
    </w:p>
    <w:p w14:paraId="32F9B0CC" w14:textId="77777777" w:rsidR="00D9246F" w:rsidRDefault="00D9246F" w:rsidP="00D9246F">
      <w:pPr>
        <w:spacing w:after="0" w:line="360" w:lineRule="auto"/>
        <w:jc w:val="center"/>
        <w:rPr>
          <w:rFonts w:ascii="Cambria" w:hAnsi="Cambria"/>
          <w:sz w:val="24"/>
          <w:szCs w:val="24"/>
          <w:lang w:val="en-GB"/>
        </w:rPr>
      </w:pPr>
    </w:p>
    <w:p w14:paraId="7DB3DB2B" w14:textId="2A9E785D" w:rsidR="00D9246F" w:rsidRPr="00D9246F" w:rsidRDefault="00D9246F" w:rsidP="00D9246F">
      <w:pPr>
        <w:spacing w:after="0" w:line="360" w:lineRule="auto"/>
        <w:jc w:val="center"/>
        <w:rPr>
          <w:rFonts w:ascii="Cambria" w:hAnsi="Cambria"/>
          <w:sz w:val="24"/>
          <w:szCs w:val="24"/>
          <w:lang w:val="en-GB"/>
        </w:rPr>
      </w:pPr>
      <w:r w:rsidRPr="00D9246F">
        <w:rPr>
          <w:rFonts w:ascii="Cambria" w:hAnsi="Cambria"/>
          <w:sz w:val="24"/>
          <w:szCs w:val="24"/>
          <w:lang w:val="en-GB"/>
        </w:rPr>
        <w:t xml:space="preserve">Gabriela </w:t>
      </w:r>
      <w:proofErr w:type="spellStart"/>
      <w:r w:rsidRPr="00D9246F">
        <w:rPr>
          <w:rFonts w:ascii="Cambria" w:hAnsi="Cambria"/>
          <w:sz w:val="24"/>
          <w:szCs w:val="24"/>
          <w:lang w:val="en-GB"/>
        </w:rPr>
        <w:t>Dąbrowska</w:t>
      </w:r>
      <w:proofErr w:type="spellEnd"/>
      <w:r w:rsidRPr="00D9246F">
        <w:rPr>
          <w:rFonts w:ascii="Cambria" w:hAnsi="Cambria"/>
          <w:sz w:val="24"/>
          <w:szCs w:val="24"/>
          <w:lang w:val="en-GB"/>
        </w:rPr>
        <w:t>,</w:t>
      </w:r>
      <w:r>
        <w:rPr>
          <w:rFonts w:ascii="Cambria" w:hAnsi="Cambria"/>
          <w:sz w:val="24"/>
          <w:szCs w:val="24"/>
          <w:lang w:val="en-GB"/>
        </w:rPr>
        <w:t xml:space="preserve"> Jagiellonian University in Cracow</w:t>
      </w:r>
    </w:p>
    <w:p w14:paraId="19E83E89" w14:textId="77777777" w:rsidR="00D9246F" w:rsidRPr="00D9246F" w:rsidRDefault="00D9246F" w:rsidP="00D9246F">
      <w:pPr>
        <w:spacing w:after="0" w:line="360" w:lineRule="auto"/>
        <w:jc w:val="center"/>
        <w:rPr>
          <w:rFonts w:ascii="Cambria" w:hAnsi="Cambria"/>
          <w:sz w:val="24"/>
          <w:szCs w:val="24"/>
          <w:lang w:val="en-GB"/>
        </w:rPr>
      </w:pPr>
    </w:p>
    <w:p w14:paraId="6ECC90EE" w14:textId="77777777" w:rsidR="003A584F" w:rsidRPr="00D9246F" w:rsidRDefault="003A584F" w:rsidP="00D9246F">
      <w:pPr>
        <w:spacing w:after="0" w:line="360" w:lineRule="auto"/>
        <w:ind w:firstLine="708"/>
        <w:jc w:val="both"/>
        <w:rPr>
          <w:rFonts w:ascii="Cambria" w:hAnsi="Cambria" w:cs="Times New Roman"/>
          <w:sz w:val="24"/>
          <w:szCs w:val="24"/>
          <w:lang w:val="en-GB"/>
        </w:rPr>
      </w:pPr>
    </w:p>
    <w:p w14:paraId="555D8B29" w14:textId="151F5A01" w:rsidR="00505CC1" w:rsidRPr="00D9246F" w:rsidRDefault="00505CC1" w:rsidP="00D9246F">
      <w:pPr>
        <w:spacing w:after="0" w:line="360" w:lineRule="auto"/>
        <w:ind w:firstLine="708"/>
        <w:jc w:val="both"/>
        <w:rPr>
          <w:rFonts w:ascii="Cambria" w:hAnsi="Cambria" w:cs="Times New Roman"/>
          <w:sz w:val="24"/>
          <w:szCs w:val="24"/>
          <w:lang w:val="en-GB"/>
        </w:rPr>
      </w:pPr>
      <w:r w:rsidRPr="00D9246F">
        <w:rPr>
          <w:rFonts w:ascii="Cambria" w:hAnsi="Cambria" w:cs="Times New Roman"/>
          <w:sz w:val="24"/>
          <w:szCs w:val="24"/>
          <w:lang w:val="en-GB"/>
        </w:rPr>
        <w:t>The major reform of the judiciary system in Poland, initiated in 2016, has generated a</w:t>
      </w:r>
      <w:r w:rsidR="008C186A" w:rsidRPr="00D9246F">
        <w:rPr>
          <w:rFonts w:ascii="Cambria" w:hAnsi="Cambria" w:cs="Times New Roman"/>
          <w:sz w:val="24"/>
          <w:szCs w:val="24"/>
          <w:lang w:val="en-GB"/>
        </w:rPr>
        <w:t> </w:t>
      </w:r>
      <w:r w:rsidRPr="00D9246F">
        <w:rPr>
          <w:rFonts w:ascii="Cambria" w:hAnsi="Cambria" w:cs="Times New Roman"/>
          <w:sz w:val="24"/>
          <w:szCs w:val="24"/>
          <w:lang w:val="en-GB"/>
        </w:rPr>
        <w:t xml:space="preserve">wide discourse on the issue of how the way in which judges are appointed, linked directly to the issue of the legitimacy of the judiciary itself. One of the most prominent voices in that discussion has been the judgment of the European Court of Justice of the European Union in the joined cases C-585/18, C-624/18 and C-625/18 on the independence of the National Council of the Judiciary and the Disciplinary Chamber of the Supreme Court, which had previously been established to rule on disciplinary cases of Supreme Court judges, </w:t>
      </w:r>
      <w:r w:rsidR="00636100" w:rsidRPr="00D9246F">
        <w:rPr>
          <w:rFonts w:ascii="Cambria" w:hAnsi="Cambria" w:cs="Times New Roman"/>
          <w:sz w:val="24"/>
          <w:szCs w:val="24"/>
          <w:lang w:val="en-GB"/>
        </w:rPr>
        <w:t>labour</w:t>
      </w:r>
      <w:r w:rsidRPr="00D9246F">
        <w:rPr>
          <w:rFonts w:ascii="Cambria" w:hAnsi="Cambria" w:cs="Times New Roman"/>
          <w:sz w:val="24"/>
          <w:szCs w:val="24"/>
          <w:lang w:val="en-GB"/>
        </w:rPr>
        <w:t xml:space="preserve"> and social security law, and on the transfer of a Supreme Court judge to retirement.</w:t>
      </w:r>
    </w:p>
    <w:p w14:paraId="0477D963" w14:textId="72CDD652" w:rsidR="00D33D98" w:rsidRPr="00D9246F" w:rsidRDefault="00505CC1" w:rsidP="00D9246F">
      <w:pPr>
        <w:spacing w:after="0" w:line="360" w:lineRule="auto"/>
        <w:ind w:firstLine="708"/>
        <w:jc w:val="both"/>
        <w:rPr>
          <w:rFonts w:ascii="Cambria" w:hAnsi="Cambria" w:cs="Times New Roman"/>
          <w:sz w:val="24"/>
          <w:szCs w:val="24"/>
          <w:lang w:val="en-GB"/>
        </w:rPr>
      </w:pPr>
      <w:r w:rsidRPr="00D9246F">
        <w:rPr>
          <w:rFonts w:ascii="Cambria" w:hAnsi="Cambria" w:cs="Times New Roman"/>
          <w:sz w:val="24"/>
          <w:szCs w:val="24"/>
          <w:lang w:val="en-GB"/>
        </w:rPr>
        <w:t>The genesis of the dispute takes place in 2018, when, as a result of the new Supreme Court Act, the retirement age for judges of the Supreme Administrative Court and the Supreme Court was lowered from 70 to 65</w:t>
      </w:r>
      <w:r w:rsidR="00D33D98" w:rsidRPr="00D9246F">
        <w:rPr>
          <w:rStyle w:val="Odwoanieprzypisudolnego"/>
          <w:rFonts w:ascii="Cambria" w:hAnsi="Cambria" w:cs="Times New Roman"/>
          <w:sz w:val="24"/>
          <w:szCs w:val="24"/>
          <w:lang w:val="en-GB"/>
        </w:rPr>
        <w:footnoteReference w:id="1"/>
      </w:r>
      <w:r w:rsidRPr="00D9246F">
        <w:rPr>
          <w:rFonts w:ascii="Cambria" w:hAnsi="Cambria" w:cs="Times New Roman"/>
          <w:sz w:val="24"/>
          <w:szCs w:val="24"/>
          <w:lang w:val="en-GB"/>
        </w:rPr>
        <w:t>. In Case C-585/18, A.K., an active judge of the Supreme Administrative Court, made a statement about his desire to continue serving as a</w:t>
      </w:r>
      <w:r w:rsidR="003D0CBC" w:rsidRPr="00D9246F">
        <w:rPr>
          <w:rFonts w:ascii="Cambria" w:hAnsi="Cambria" w:cs="Times New Roman"/>
          <w:sz w:val="24"/>
          <w:szCs w:val="24"/>
          <w:lang w:val="en-GB"/>
        </w:rPr>
        <w:t> </w:t>
      </w:r>
      <w:r w:rsidRPr="00D9246F">
        <w:rPr>
          <w:rFonts w:ascii="Cambria" w:hAnsi="Cambria" w:cs="Times New Roman"/>
          <w:sz w:val="24"/>
          <w:szCs w:val="24"/>
          <w:lang w:val="en-GB"/>
        </w:rPr>
        <w:t>judge despite reaching the age of 65. As a result, on July 27, 2018, the NCJ issued a</w:t>
      </w:r>
      <w:r w:rsidR="003D0CBC" w:rsidRPr="00D9246F">
        <w:rPr>
          <w:rFonts w:ascii="Cambria" w:hAnsi="Cambria" w:cs="Times New Roman"/>
          <w:sz w:val="24"/>
          <w:szCs w:val="24"/>
          <w:lang w:val="en-GB"/>
        </w:rPr>
        <w:t> </w:t>
      </w:r>
      <w:r w:rsidRPr="00D9246F">
        <w:rPr>
          <w:rFonts w:ascii="Cambria" w:hAnsi="Cambria" w:cs="Times New Roman"/>
          <w:sz w:val="24"/>
          <w:szCs w:val="24"/>
          <w:lang w:val="en-GB"/>
        </w:rPr>
        <w:t>negative opinion on A.K.'s application in accordance with Article 37 § 1a of the Supreme Court</w:t>
      </w:r>
      <w:r w:rsidR="003518B1" w:rsidRPr="00D9246F">
        <w:rPr>
          <w:rFonts w:ascii="Cambria" w:hAnsi="Cambria" w:cs="Times New Roman"/>
          <w:sz w:val="24"/>
          <w:szCs w:val="24"/>
          <w:lang w:val="en-GB"/>
        </w:rPr>
        <w:t xml:space="preserve"> Act</w:t>
      </w:r>
      <w:r w:rsidRPr="00D9246F">
        <w:rPr>
          <w:rFonts w:ascii="Cambria" w:hAnsi="Cambria" w:cs="Times New Roman"/>
          <w:sz w:val="24"/>
          <w:szCs w:val="24"/>
          <w:lang w:val="en-GB"/>
        </w:rPr>
        <w:t xml:space="preserve"> of 2018. On August 10, 2018, A.K. appealed this decision to the Supreme Court. As </w:t>
      </w:r>
      <w:r w:rsidR="00E7051F" w:rsidRPr="00D9246F">
        <w:rPr>
          <w:rFonts w:ascii="Cambria" w:hAnsi="Cambria" w:cs="Times New Roman"/>
          <w:sz w:val="24"/>
          <w:szCs w:val="24"/>
          <w:lang w:val="en-GB"/>
        </w:rPr>
        <w:t xml:space="preserve">a </w:t>
      </w:r>
      <w:r w:rsidRPr="00D9246F">
        <w:rPr>
          <w:rFonts w:ascii="Cambria" w:hAnsi="Cambria" w:cs="Times New Roman"/>
          <w:sz w:val="24"/>
          <w:szCs w:val="24"/>
          <w:lang w:val="en-GB"/>
        </w:rPr>
        <w:t xml:space="preserve">part of his appeal arguments, A.K. stressed that early retirement at age 65 is a violation of the second paragraph of Article 19(1) of the TEU and Article 47 of the Charter of Fundamental Rights of the European Union, also citing Directive 2000/78, particularly Article 9(1). Cases C-624/18 and C-625/18, on the other hand, concern two Supreme Court judges, C.P. and D.O., who </w:t>
      </w:r>
      <w:r w:rsidR="00E7051F" w:rsidRPr="00D9246F">
        <w:rPr>
          <w:rFonts w:ascii="Cambria" w:hAnsi="Cambria" w:cs="Times New Roman"/>
          <w:sz w:val="24"/>
          <w:szCs w:val="24"/>
          <w:lang w:val="en-GB"/>
        </w:rPr>
        <w:t>surpassed</w:t>
      </w:r>
      <w:r w:rsidRPr="00D9246F">
        <w:rPr>
          <w:rFonts w:ascii="Cambria" w:hAnsi="Cambria" w:cs="Times New Roman"/>
          <w:sz w:val="24"/>
          <w:szCs w:val="24"/>
          <w:lang w:val="en-GB"/>
        </w:rPr>
        <w:t xml:space="preserve"> the age of 65 before the introduction of the new legislation, but did not make the appropriate declaration of their desire to continue to serve as Supreme Court judges in accordance with the provisions of Article 37 § 1 </w:t>
      </w:r>
      <w:r w:rsidR="00E7051F" w:rsidRPr="00D9246F">
        <w:rPr>
          <w:rFonts w:ascii="Cambria" w:hAnsi="Cambria" w:cs="Times New Roman"/>
          <w:sz w:val="24"/>
          <w:szCs w:val="24"/>
          <w:lang w:val="en-GB"/>
        </w:rPr>
        <w:t xml:space="preserve">Article </w:t>
      </w:r>
      <w:r w:rsidRPr="00D9246F">
        <w:rPr>
          <w:rFonts w:ascii="Cambria" w:hAnsi="Cambria" w:cs="Times New Roman"/>
          <w:sz w:val="24"/>
          <w:szCs w:val="24"/>
          <w:lang w:val="en-GB"/>
        </w:rPr>
        <w:t xml:space="preserve">and 111 § 1 of the new Supreme Court </w:t>
      </w:r>
      <w:r w:rsidR="00E7051F" w:rsidRPr="00D9246F">
        <w:rPr>
          <w:rFonts w:ascii="Cambria" w:hAnsi="Cambria" w:cs="Times New Roman"/>
          <w:sz w:val="24"/>
          <w:szCs w:val="24"/>
          <w:lang w:val="en-GB"/>
        </w:rPr>
        <w:t>Act</w:t>
      </w:r>
      <w:r w:rsidRPr="00D9246F">
        <w:rPr>
          <w:rFonts w:ascii="Cambria" w:hAnsi="Cambria" w:cs="Times New Roman"/>
          <w:sz w:val="24"/>
          <w:szCs w:val="24"/>
          <w:lang w:val="en-GB"/>
        </w:rPr>
        <w:t xml:space="preserve">. </w:t>
      </w:r>
      <w:r w:rsidR="00D33D98" w:rsidRPr="00D9246F">
        <w:rPr>
          <w:rFonts w:ascii="Cambria" w:hAnsi="Cambria" w:cs="Times New Roman"/>
          <w:sz w:val="24"/>
          <w:szCs w:val="24"/>
          <w:lang w:val="en-GB"/>
        </w:rPr>
        <w:t xml:space="preserve">After reviewing their situation, the </w:t>
      </w:r>
      <w:r w:rsidR="00D33D98" w:rsidRPr="00D9246F">
        <w:rPr>
          <w:rFonts w:ascii="Cambria" w:hAnsi="Cambria" w:cs="Times New Roman"/>
          <w:sz w:val="24"/>
          <w:szCs w:val="24"/>
          <w:lang w:val="en-GB"/>
        </w:rPr>
        <w:lastRenderedPageBreak/>
        <w:t xml:space="preserve">President of the Republic of Poland, Andrzej Duda, declared that the judges had been </w:t>
      </w:r>
      <w:r w:rsidR="00E7051F" w:rsidRPr="00D9246F">
        <w:rPr>
          <w:rFonts w:ascii="Cambria" w:hAnsi="Cambria" w:cs="Times New Roman"/>
          <w:sz w:val="24"/>
          <w:szCs w:val="24"/>
          <w:lang w:val="en-GB"/>
        </w:rPr>
        <w:t xml:space="preserve">indeed </w:t>
      </w:r>
      <w:r w:rsidR="00D33D98" w:rsidRPr="00D9246F">
        <w:rPr>
          <w:rFonts w:ascii="Cambria" w:hAnsi="Cambria" w:cs="Times New Roman"/>
          <w:sz w:val="24"/>
          <w:szCs w:val="24"/>
          <w:lang w:val="en-GB"/>
        </w:rPr>
        <w:t>retired as of July 4, 2018, in accordance with the new l</w:t>
      </w:r>
      <w:r w:rsidR="00E7051F" w:rsidRPr="00D9246F">
        <w:rPr>
          <w:rFonts w:ascii="Cambria" w:hAnsi="Cambria" w:cs="Times New Roman"/>
          <w:sz w:val="24"/>
          <w:szCs w:val="24"/>
          <w:lang w:val="en-GB"/>
        </w:rPr>
        <w:t>egislation</w:t>
      </w:r>
      <w:r w:rsidR="00D33D98" w:rsidRPr="00D9246F">
        <w:rPr>
          <w:rFonts w:ascii="Cambria" w:hAnsi="Cambria" w:cs="Times New Roman"/>
          <w:sz w:val="24"/>
          <w:szCs w:val="24"/>
          <w:lang w:val="en-GB"/>
        </w:rPr>
        <w:t xml:space="preserve">. C.P. and D.O. filed a lawsuit to the Supreme Court to establish that they </w:t>
      </w:r>
      <w:r w:rsidR="00E7051F" w:rsidRPr="00D9246F">
        <w:rPr>
          <w:rFonts w:ascii="Cambria" w:hAnsi="Cambria" w:cs="Times New Roman"/>
          <w:sz w:val="24"/>
          <w:szCs w:val="24"/>
          <w:lang w:val="en-GB"/>
        </w:rPr>
        <w:t>still</w:t>
      </w:r>
      <w:r w:rsidR="00D33D98" w:rsidRPr="00D9246F">
        <w:rPr>
          <w:rFonts w:ascii="Cambria" w:hAnsi="Cambria" w:cs="Times New Roman"/>
          <w:sz w:val="24"/>
          <w:szCs w:val="24"/>
          <w:lang w:val="en-GB"/>
        </w:rPr>
        <w:t xml:space="preserve"> continued to serve as active judges of the Supreme Court, claiming a</w:t>
      </w:r>
      <w:r w:rsidR="008C186A" w:rsidRPr="00D9246F">
        <w:rPr>
          <w:rFonts w:ascii="Cambria" w:hAnsi="Cambria" w:cs="Times New Roman"/>
          <w:sz w:val="24"/>
          <w:szCs w:val="24"/>
          <w:lang w:val="en-GB"/>
        </w:rPr>
        <w:t> </w:t>
      </w:r>
      <w:r w:rsidR="00D33D98" w:rsidRPr="00D9246F">
        <w:rPr>
          <w:rFonts w:ascii="Cambria" w:hAnsi="Cambria" w:cs="Times New Roman"/>
          <w:sz w:val="24"/>
          <w:szCs w:val="24"/>
          <w:lang w:val="en-GB"/>
        </w:rPr>
        <w:t xml:space="preserve">violation of Article 2(1) of Directive 2000/78, which prohibits discrimination on the basis of age. The cases were to be </w:t>
      </w:r>
      <w:r w:rsidR="00E7051F" w:rsidRPr="00D9246F">
        <w:rPr>
          <w:rFonts w:ascii="Cambria" w:hAnsi="Cambria" w:cs="Times New Roman"/>
          <w:sz w:val="24"/>
          <w:szCs w:val="24"/>
          <w:lang w:val="en-GB"/>
        </w:rPr>
        <w:t>ruled</w:t>
      </w:r>
      <w:r w:rsidR="00D33D98" w:rsidRPr="00D9246F">
        <w:rPr>
          <w:rFonts w:ascii="Cambria" w:hAnsi="Cambria" w:cs="Times New Roman"/>
          <w:sz w:val="24"/>
          <w:szCs w:val="24"/>
          <w:lang w:val="en-GB"/>
        </w:rPr>
        <w:t xml:space="preserve"> by the </w:t>
      </w:r>
      <w:r w:rsidR="00E7051F" w:rsidRPr="00D9246F">
        <w:rPr>
          <w:rFonts w:ascii="Cambria" w:hAnsi="Cambria" w:cs="Times New Roman"/>
          <w:sz w:val="24"/>
          <w:szCs w:val="24"/>
          <w:lang w:val="en-GB"/>
        </w:rPr>
        <w:t xml:space="preserve">newly established </w:t>
      </w:r>
      <w:r w:rsidR="00D33D98" w:rsidRPr="00D9246F">
        <w:rPr>
          <w:rFonts w:ascii="Cambria" w:hAnsi="Cambria" w:cs="Times New Roman"/>
          <w:sz w:val="24"/>
          <w:szCs w:val="24"/>
          <w:lang w:val="en-GB"/>
        </w:rPr>
        <w:t xml:space="preserve">Disciplinary Chamber, which had been </w:t>
      </w:r>
      <w:r w:rsidR="00E7051F" w:rsidRPr="00D9246F">
        <w:rPr>
          <w:rFonts w:ascii="Cambria" w:hAnsi="Cambria" w:cs="Times New Roman"/>
          <w:sz w:val="24"/>
          <w:szCs w:val="24"/>
          <w:lang w:val="en-GB"/>
        </w:rPr>
        <w:t xml:space="preserve">legislatively </w:t>
      </w:r>
      <w:r w:rsidR="00D33D98" w:rsidRPr="00D9246F">
        <w:rPr>
          <w:rFonts w:ascii="Cambria" w:hAnsi="Cambria" w:cs="Times New Roman"/>
          <w:sz w:val="24"/>
          <w:szCs w:val="24"/>
          <w:lang w:val="en-GB"/>
        </w:rPr>
        <w:t xml:space="preserve">constituted, but not yet vacated by </w:t>
      </w:r>
      <w:r w:rsidR="00E7051F" w:rsidRPr="00D9246F">
        <w:rPr>
          <w:rFonts w:ascii="Cambria" w:hAnsi="Cambria" w:cs="Times New Roman"/>
          <w:sz w:val="24"/>
          <w:szCs w:val="24"/>
          <w:lang w:val="en-GB"/>
        </w:rPr>
        <w:t xml:space="preserve">member </w:t>
      </w:r>
      <w:r w:rsidR="00D33D98" w:rsidRPr="00D9246F">
        <w:rPr>
          <w:rFonts w:ascii="Cambria" w:hAnsi="Cambria" w:cs="Times New Roman"/>
          <w:sz w:val="24"/>
          <w:szCs w:val="24"/>
          <w:lang w:val="en-GB"/>
        </w:rPr>
        <w:t>judges. In each of the cases, the preliminary question</w:t>
      </w:r>
      <w:r w:rsidR="00E7051F" w:rsidRPr="00D9246F">
        <w:rPr>
          <w:rFonts w:ascii="Cambria" w:hAnsi="Cambria" w:cs="Times New Roman"/>
          <w:sz w:val="24"/>
          <w:szCs w:val="24"/>
          <w:lang w:val="en-GB"/>
        </w:rPr>
        <w:t>s were submitted</w:t>
      </w:r>
      <w:r w:rsidR="00D33D98" w:rsidRPr="00D9246F">
        <w:rPr>
          <w:rFonts w:ascii="Cambria" w:hAnsi="Cambria" w:cs="Times New Roman"/>
          <w:sz w:val="24"/>
          <w:szCs w:val="24"/>
          <w:lang w:val="en-GB"/>
        </w:rPr>
        <w:t xml:space="preserve"> to the Court of Justice of the European Union. The Court did not answer some of them, </w:t>
      </w:r>
      <w:r w:rsidR="00E7051F" w:rsidRPr="00D9246F">
        <w:rPr>
          <w:rFonts w:ascii="Cambria" w:hAnsi="Cambria" w:cs="Times New Roman"/>
          <w:sz w:val="24"/>
          <w:szCs w:val="24"/>
          <w:lang w:val="en-GB"/>
        </w:rPr>
        <w:t>because</w:t>
      </w:r>
      <w:r w:rsidR="00D33D98" w:rsidRPr="00D9246F">
        <w:rPr>
          <w:rFonts w:ascii="Cambria" w:hAnsi="Cambria" w:cs="Times New Roman"/>
          <w:sz w:val="24"/>
          <w:szCs w:val="24"/>
          <w:lang w:val="en-GB"/>
        </w:rPr>
        <w:t xml:space="preserve"> they </w:t>
      </w:r>
      <w:r w:rsidR="00E7051F" w:rsidRPr="00D9246F">
        <w:rPr>
          <w:rFonts w:ascii="Cambria" w:hAnsi="Cambria" w:cs="Times New Roman"/>
          <w:sz w:val="24"/>
          <w:szCs w:val="24"/>
          <w:lang w:val="en-GB"/>
        </w:rPr>
        <w:t>applied to a</w:t>
      </w:r>
      <w:r w:rsidR="003D0CBC" w:rsidRPr="00D9246F">
        <w:rPr>
          <w:rFonts w:ascii="Cambria" w:hAnsi="Cambria" w:cs="Times New Roman"/>
          <w:sz w:val="24"/>
          <w:szCs w:val="24"/>
          <w:lang w:val="en-GB"/>
        </w:rPr>
        <w:t> </w:t>
      </w:r>
      <w:r w:rsidR="00D33D98" w:rsidRPr="00D9246F">
        <w:rPr>
          <w:rFonts w:ascii="Cambria" w:hAnsi="Cambria" w:cs="Times New Roman"/>
          <w:sz w:val="24"/>
          <w:szCs w:val="24"/>
          <w:lang w:val="en-GB"/>
        </w:rPr>
        <w:t xml:space="preserve">hypothetical situation, </w:t>
      </w:r>
      <w:r w:rsidR="00E7051F" w:rsidRPr="00D9246F">
        <w:rPr>
          <w:rFonts w:ascii="Cambria" w:hAnsi="Cambria" w:cs="Times New Roman"/>
          <w:sz w:val="24"/>
          <w:szCs w:val="24"/>
          <w:lang w:val="en-GB"/>
        </w:rPr>
        <w:t>as</w:t>
      </w:r>
      <w:r w:rsidR="00D33D98" w:rsidRPr="00D9246F">
        <w:rPr>
          <w:rFonts w:ascii="Cambria" w:hAnsi="Cambria" w:cs="Times New Roman"/>
          <w:sz w:val="24"/>
          <w:szCs w:val="24"/>
          <w:lang w:val="en-GB"/>
        </w:rPr>
        <w:t xml:space="preserve"> the Disciplinary Chamber had been vacated since the preliminary questions were issued. It did, however, answer two questions posed in Cases C-624/18 and C-625/18 regarding whether </w:t>
      </w:r>
      <w:r w:rsidR="00E7051F" w:rsidRPr="00D9246F">
        <w:rPr>
          <w:rFonts w:ascii="Cambria" w:hAnsi="Cambria" w:cs="Times New Roman"/>
          <w:sz w:val="24"/>
          <w:szCs w:val="24"/>
          <w:lang w:val="en-GB"/>
        </w:rPr>
        <w:t>the Disciplinary Chamber</w:t>
      </w:r>
      <w:r w:rsidR="00D33D98" w:rsidRPr="00D9246F">
        <w:rPr>
          <w:rFonts w:ascii="Cambria" w:hAnsi="Cambria" w:cs="Times New Roman"/>
          <w:sz w:val="24"/>
          <w:szCs w:val="24"/>
          <w:lang w:val="en-GB"/>
        </w:rPr>
        <w:t xml:space="preserve"> is </w:t>
      </w:r>
      <w:r w:rsidR="00E7051F" w:rsidRPr="00D9246F">
        <w:rPr>
          <w:rFonts w:ascii="Cambria" w:hAnsi="Cambria" w:cs="Times New Roman"/>
          <w:sz w:val="24"/>
          <w:szCs w:val="24"/>
          <w:lang w:val="en-GB"/>
        </w:rPr>
        <w:t xml:space="preserve">fact </w:t>
      </w:r>
      <w:r w:rsidR="00D33D98" w:rsidRPr="00D9246F">
        <w:rPr>
          <w:rFonts w:ascii="Cambria" w:hAnsi="Cambria" w:cs="Times New Roman"/>
          <w:sz w:val="24"/>
          <w:szCs w:val="24"/>
          <w:lang w:val="en-GB"/>
        </w:rPr>
        <w:t xml:space="preserve">an independent and unbiased court under EU law, regarding the procedure of appointing </w:t>
      </w:r>
      <w:r w:rsidR="00E7051F" w:rsidRPr="00D9246F">
        <w:rPr>
          <w:rFonts w:ascii="Cambria" w:hAnsi="Cambria" w:cs="Times New Roman"/>
          <w:sz w:val="24"/>
          <w:szCs w:val="24"/>
          <w:lang w:val="en-GB"/>
        </w:rPr>
        <w:t xml:space="preserve">its </w:t>
      </w:r>
      <w:r w:rsidR="00D33D98" w:rsidRPr="00D9246F">
        <w:rPr>
          <w:rFonts w:ascii="Cambria" w:hAnsi="Cambria" w:cs="Times New Roman"/>
          <w:sz w:val="24"/>
          <w:szCs w:val="24"/>
          <w:lang w:val="en-GB"/>
        </w:rPr>
        <w:t xml:space="preserve">judges and, </w:t>
      </w:r>
      <w:r w:rsidR="00E7051F" w:rsidRPr="00D9246F">
        <w:rPr>
          <w:rFonts w:ascii="Cambria" w:hAnsi="Cambria" w:cs="Times New Roman"/>
          <w:sz w:val="24"/>
          <w:szCs w:val="24"/>
          <w:lang w:val="en-GB"/>
        </w:rPr>
        <w:t>should</w:t>
      </w:r>
      <w:r w:rsidR="00D33D98" w:rsidRPr="00D9246F">
        <w:rPr>
          <w:rFonts w:ascii="Cambria" w:hAnsi="Cambria" w:cs="Times New Roman"/>
          <w:sz w:val="24"/>
          <w:szCs w:val="24"/>
          <w:lang w:val="en-GB"/>
        </w:rPr>
        <w:t xml:space="preserve"> the second question </w:t>
      </w:r>
      <w:r w:rsidR="00E7051F" w:rsidRPr="00D9246F">
        <w:rPr>
          <w:rFonts w:ascii="Cambria" w:hAnsi="Cambria" w:cs="Times New Roman"/>
          <w:sz w:val="24"/>
          <w:szCs w:val="24"/>
          <w:lang w:val="en-GB"/>
        </w:rPr>
        <w:t>be</w:t>
      </w:r>
      <w:r w:rsidR="00D33D98" w:rsidRPr="00D9246F">
        <w:rPr>
          <w:rFonts w:ascii="Cambria" w:hAnsi="Cambria" w:cs="Times New Roman"/>
          <w:sz w:val="24"/>
          <w:szCs w:val="24"/>
          <w:lang w:val="en-GB"/>
        </w:rPr>
        <w:t xml:space="preserve"> answered in the negative, whether the Labo</w:t>
      </w:r>
      <w:r w:rsidR="003D0CBC" w:rsidRPr="00D9246F">
        <w:rPr>
          <w:rFonts w:ascii="Cambria" w:hAnsi="Cambria" w:cs="Times New Roman"/>
          <w:sz w:val="24"/>
          <w:szCs w:val="24"/>
          <w:lang w:val="en-GB"/>
        </w:rPr>
        <w:t>u</w:t>
      </w:r>
      <w:r w:rsidR="00D33D98" w:rsidRPr="00D9246F">
        <w:rPr>
          <w:rFonts w:ascii="Cambria" w:hAnsi="Cambria" w:cs="Times New Roman"/>
          <w:sz w:val="24"/>
          <w:szCs w:val="24"/>
          <w:lang w:val="en-GB"/>
        </w:rPr>
        <w:t xml:space="preserve">r and Social Security Chamber of the Supreme Court </w:t>
      </w:r>
      <w:r w:rsidR="00E7051F" w:rsidRPr="00D9246F">
        <w:rPr>
          <w:rFonts w:ascii="Cambria" w:hAnsi="Cambria" w:cs="Times New Roman"/>
          <w:sz w:val="24"/>
          <w:szCs w:val="24"/>
          <w:lang w:val="en-GB"/>
        </w:rPr>
        <w:t>may</w:t>
      </w:r>
      <w:r w:rsidR="00D33D98" w:rsidRPr="00D9246F">
        <w:rPr>
          <w:rFonts w:ascii="Cambria" w:hAnsi="Cambria" w:cs="Times New Roman"/>
          <w:sz w:val="24"/>
          <w:szCs w:val="24"/>
          <w:lang w:val="en-GB"/>
        </w:rPr>
        <w:t xml:space="preserve"> disregard the provisions of national law excluding its </w:t>
      </w:r>
      <w:r w:rsidR="00E7051F" w:rsidRPr="00D9246F">
        <w:rPr>
          <w:rFonts w:ascii="Cambria" w:hAnsi="Cambria" w:cs="Times New Roman"/>
          <w:sz w:val="24"/>
          <w:szCs w:val="24"/>
          <w:lang w:val="en-GB"/>
        </w:rPr>
        <w:t xml:space="preserve">previous </w:t>
      </w:r>
      <w:r w:rsidR="00D33D98" w:rsidRPr="00D9246F">
        <w:rPr>
          <w:rFonts w:ascii="Cambria" w:hAnsi="Cambria" w:cs="Times New Roman"/>
          <w:sz w:val="24"/>
          <w:szCs w:val="24"/>
          <w:lang w:val="en-GB"/>
        </w:rPr>
        <w:t>jurisdiction</w:t>
      </w:r>
      <w:r w:rsidR="00636100" w:rsidRPr="00D9246F">
        <w:rPr>
          <w:rStyle w:val="Odwoanieprzypisudolnego"/>
          <w:rFonts w:ascii="Cambria" w:hAnsi="Cambria" w:cs="Times New Roman"/>
          <w:sz w:val="24"/>
          <w:szCs w:val="24"/>
          <w:lang w:val="en-GB"/>
        </w:rPr>
        <w:footnoteReference w:id="2"/>
      </w:r>
      <w:r w:rsidR="00D33D98" w:rsidRPr="00D9246F">
        <w:rPr>
          <w:rFonts w:ascii="Cambria" w:hAnsi="Cambria" w:cs="Times New Roman"/>
          <w:sz w:val="24"/>
          <w:szCs w:val="24"/>
          <w:lang w:val="en-GB"/>
        </w:rPr>
        <w:t>.</w:t>
      </w:r>
    </w:p>
    <w:p w14:paraId="14829D59" w14:textId="76246BDA" w:rsidR="00FF28F2" w:rsidRPr="00D9246F" w:rsidRDefault="006800A3" w:rsidP="00D9246F">
      <w:pPr>
        <w:spacing w:after="0" w:line="360" w:lineRule="auto"/>
        <w:jc w:val="both"/>
        <w:rPr>
          <w:rFonts w:ascii="Cambria" w:hAnsi="Cambria" w:cs="Times New Roman"/>
          <w:sz w:val="24"/>
          <w:szCs w:val="24"/>
          <w:lang w:val="en-GB"/>
        </w:rPr>
      </w:pPr>
      <w:r w:rsidRPr="00D9246F">
        <w:rPr>
          <w:rFonts w:ascii="Cambria" w:hAnsi="Cambria"/>
          <w:lang w:val="en-GB"/>
        </w:rPr>
        <w:tab/>
      </w:r>
      <w:r w:rsidR="00B933D6" w:rsidRPr="00D9246F">
        <w:rPr>
          <w:rFonts w:ascii="Cambria" w:hAnsi="Cambria" w:cs="Times New Roman"/>
          <w:sz w:val="24"/>
          <w:szCs w:val="24"/>
          <w:lang w:val="en-GB"/>
        </w:rPr>
        <w:t>By the decision of the President of the CJEU on November 5, 2018, the three cases were joined and examined together</w:t>
      </w:r>
      <w:r w:rsidR="001C2214" w:rsidRPr="00D9246F">
        <w:rPr>
          <w:rStyle w:val="Odwoanieprzypisudolnego"/>
          <w:rFonts w:ascii="Cambria" w:hAnsi="Cambria" w:cs="Times New Roman"/>
          <w:sz w:val="24"/>
          <w:szCs w:val="24"/>
          <w:lang w:val="en-GB"/>
        </w:rPr>
        <w:footnoteReference w:id="3"/>
      </w:r>
      <w:r w:rsidR="00B933D6" w:rsidRPr="00D9246F">
        <w:rPr>
          <w:rFonts w:ascii="Cambria" w:hAnsi="Cambria" w:cs="Times New Roman"/>
          <w:sz w:val="24"/>
          <w:szCs w:val="24"/>
          <w:lang w:val="en-GB"/>
        </w:rPr>
        <w:t xml:space="preserve"> in a judgment on November 19, 2019. In the </w:t>
      </w:r>
      <w:r w:rsidR="00E7051F" w:rsidRPr="00D9246F">
        <w:rPr>
          <w:rFonts w:ascii="Cambria" w:hAnsi="Cambria" w:cs="Times New Roman"/>
          <w:sz w:val="24"/>
          <w:szCs w:val="24"/>
          <w:lang w:val="en-GB"/>
        </w:rPr>
        <w:t>ruling</w:t>
      </w:r>
      <w:r w:rsidR="00B933D6" w:rsidRPr="00D9246F">
        <w:rPr>
          <w:rFonts w:ascii="Cambria" w:hAnsi="Cambria" w:cs="Times New Roman"/>
          <w:sz w:val="24"/>
          <w:szCs w:val="24"/>
          <w:lang w:val="en-GB"/>
        </w:rPr>
        <w:t>, the CJEU referred to the well-established case law of the European Court of Human Rights and Article 6(1) of</w:t>
      </w:r>
      <w:r w:rsidR="003D0CBC" w:rsidRPr="00D9246F">
        <w:rPr>
          <w:rFonts w:ascii="Cambria" w:hAnsi="Cambria" w:cs="Times New Roman"/>
          <w:sz w:val="24"/>
          <w:szCs w:val="24"/>
          <w:lang w:val="en-GB"/>
        </w:rPr>
        <w:t xml:space="preserve"> </w:t>
      </w:r>
      <w:r w:rsidR="00B933D6" w:rsidRPr="00D9246F">
        <w:rPr>
          <w:rFonts w:ascii="Cambria" w:hAnsi="Cambria" w:cs="Times New Roman"/>
          <w:sz w:val="24"/>
          <w:szCs w:val="24"/>
          <w:lang w:val="en-GB"/>
        </w:rPr>
        <w:t xml:space="preserve">The Convention for the Protection of Human Rights and Fundamental Freedoms, which requires that the mandatory condition of the independence of judiciary both from the executive and legislative branches has be respected. The CJEU also </w:t>
      </w:r>
      <w:r w:rsidR="00E7051F" w:rsidRPr="00D9246F">
        <w:rPr>
          <w:rFonts w:ascii="Cambria" w:hAnsi="Cambria" w:cs="Times New Roman"/>
          <w:sz w:val="24"/>
          <w:szCs w:val="24"/>
          <w:lang w:val="en-GB"/>
        </w:rPr>
        <w:t>cited</w:t>
      </w:r>
      <w:r w:rsidR="00B933D6" w:rsidRPr="00D9246F">
        <w:rPr>
          <w:rFonts w:ascii="Cambria" w:hAnsi="Cambria" w:cs="Times New Roman"/>
          <w:sz w:val="24"/>
          <w:szCs w:val="24"/>
          <w:lang w:val="en-GB"/>
        </w:rPr>
        <w:t xml:space="preserve"> Article 47 of the Charter of Fundamental Rights, which guarantees the right to a fair and public trial within a reasonable time by an independent and impartial court, established by law. On the basis of Article 47 of the CFR, the Court has construed </w:t>
      </w:r>
      <w:r w:rsidR="000A4309" w:rsidRPr="00D9246F">
        <w:rPr>
          <w:rFonts w:ascii="Cambria" w:hAnsi="Cambria" w:cs="Times New Roman"/>
          <w:sz w:val="24"/>
          <w:szCs w:val="24"/>
          <w:lang w:val="en-GB"/>
        </w:rPr>
        <w:t>conditions</w:t>
      </w:r>
      <w:r w:rsidR="00B933D6" w:rsidRPr="00D9246F">
        <w:rPr>
          <w:rFonts w:ascii="Cambria" w:hAnsi="Cambria" w:cs="Times New Roman"/>
          <w:sz w:val="24"/>
          <w:szCs w:val="24"/>
          <w:lang w:val="en-GB"/>
        </w:rPr>
        <w:t xml:space="preserve"> which indicate that a</w:t>
      </w:r>
      <w:r w:rsidR="000A4309" w:rsidRPr="00D9246F">
        <w:rPr>
          <w:rFonts w:ascii="Cambria" w:hAnsi="Cambria" w:cs="Times New Roman"/>
          <w:sz w:val="24"/>
          <w:szCs w:val="24"/>
          <w:lang w:val="en-GB"/>
        </w:rPr>
        <w:t> </w:t>
      </w:r>
      <w:r w:rsidR="00B933D6" w:rsidRPr="00D9246F">
        <w:rPr>
          <w:rFonts w:ascii="Cambria" w:hAnsi="Cambria" w:cs="Times New Roman"/>
          <w:sz w:val="24"/>
          <w:szCs w:val="24"/>
          <w:lang w:val="en-GB"/>
        </w:rPr>
        <w:t>judicial body does not meet the standards of judicial independence and impartiality. Such a</w:t>
      </w:r>
      <w:r w:rsidR="000A4309" w:rsidRPr="00D9246F">
        <w:rPr>
          <w:rFonts w:ascii="Cambria" w:hAnsi="Cambria" w:cs="Times New Roman"/>
          <w:sz w:val="24"/>
          <w:szCs w:val="24"/>
          <w:lang w:val="en-GB"/>
        </w:rPr>
        <w:t> </w:t>
      </w:r>
      <w:r w:rsidR="00B933D6" w:rsidRPr="00D9246F">
        <w:rPr>
          <w:rFonts w:ascii="Cambria" w:hAnsi="Cambria" w:cs="Times New Roman"/>
          <w:sz w:val="24"/>
          <w:szCs w:val="24"/>
          <w:lang w:val="en-GB"/>
        </w:rPr>
        <w:t xml:space="preserve">body </w:t>
      </w:r>
      <w:r w:rsidR="001C2214" w:rsidRPr="00D9246F">
        <w:rPr>
          <w:rFonts w:ascii="Cambria" w:hAnsi="Cambria" w:cs="Times New Roman"/>
          <w:sz w:val="24"/>
          <w:szCs w:val="24"/>
          <w:lang w:val="en-GB"/>
        </w:rPr>
        <w:t>can be defined</w:t>
      </w:r>
      <w:r w:rsidR="00B933D6" w:rsidRPr="00D9246F">
        <w:rPr>
          <w:rFonts w:ascii="Cambria" w:hAnsi="Cambria" w:cs="Times New Roman"/>
          <w:sz w:val="24"/>
          <w:szCs w:val="24"/>
          <w:lang w:val="en-GB"/>
        </w:rPr>
        <w:t xml:space="preserve"> a</w:t>
      </w:r>
      <w:r w:rsidR="001C2214" w:rsidRPr="00D9246F">
        <w:rPr>
          <w:rFonts w:ascii="Cambria" w:hAnsi="Cambria" w:cs="Times New Roman"/>
          <w:sz w:val="24"/>
          <w:szCs w:val="24"/>
          <w:lang w:val="en-GB"/>
        </w:rPr>
        <w:t>s a</w:t>
      </w:r>
      <w:r w:rsidR="00B933D6" w:rsidRPr="00D9246F">
        <w:rPr>
          <w:rFonts w:ascii="Cambria" w:hAnsi="Cambria" w:cs="Times New Roman"/>
          <w:sz w:val="24"/>
          <w:szCs w:val="24"/>
          <w:lang w:val="en-GB"/>
        </w:rPr>
        <w:t xml:space="preserve"> court </w:t>
      </w:r>
      <w:r w:rsidR="001C2214" w:rsidRPr="00D9246F">
        <w:rPr>
          <w:rFonts w:ascii="Cambria" w:hAnsi="Cambria" w:cs="Times New Roman"/>
          <w:sz w:val="24"/>
          <w:szCs w:val="24"/>
          <w:lang w:val="en-GB"/>
        </w:rPr>
        <w:t>which</w:t>
      </w:r>
      <w:r w:rsidR="00B933D6" w:rsidRPr="00D9246F">
        <w:rPr>
          <w:rFonts w:ascii="Cambria" w:hAnsi="Cambria" w:cs="Times New Roman"/>
          <w:sz w:val="24"/>
          <w:szCs w:val="24"/>
          <w:lang w:val="en-GB"/>
        </w:rPr>
        <w:t xml:space="preserve"> qualities, the method of its appointment and the procedure for vacating its members may raise reasonable doubts about its independence and impartiality regarding particular conflicting interests.</w:t>
      </w:r>
      <w:r w:rsidR="001C2214" w:rsidRPr="00D9246F">
        <w:rPr>
          <w:rStyle w:val="Odwoanieprzypisudolnego"/>
          <w:rFonts w:ascii="Cambria" w:hAnsi="Cambria" w:cs="Times New Roman"/>
          <w:sz w:val="24"/>
          <w:szCs w:val="24"/>
          <w:lang w:val="en-GB"/>
        </w:rPr>
        <w:footnoteReference w:id="4"/>
      </w:r>
      <w:r w:rsidR="0004174C" w:rsidRPr="00D9246F">
        <w:rPr>
          <w:rFonts w:ascii="Cambria" w:hAnsi="Cambria" w:cs="Times New Roman"/>
          <w:sz w:val="24"/>
          <w:szCs w:val="24"/>
          <w:lang w:val="en-GB"/>
        </w:rPr>
        <w:t xml:space="preserve"> </w:t>
      </w:r>
      <w:r w:rsidR="0004174C" w:rsidRPr="00D9246F">
        <w:rPr>
          <w:rFonts w:ascii="Cambria" w:hAnsi="Cambria" w:cs="Times New Roman"/>
          <w:sz w:val="24"/>
          <w:szCs w:val="24"/>
          <w:lang w:val="en-GB"/>
        </w:rPr>
        <w:lastRenderedPageBreak/>
        <w:t>Furthermore, the CJEU has authorized national courts to perform an examination of judicial independence and impartiality of judges, thus giving the Supreme Court the authority to conduct this evaluation to the Disciplinary Chamber and, by extension, the NCJ</w:t>
      </w:r>
      <w:r w:rsidR="000A4309" w:rsidRPr="00D9246F">
        <w:rPr>
          <w:rFonts w:ascii="Cambria" w:hAnsi="Cambria" w:cs="Times New Roman"/>
          <w:sz w:val="24"/>
          <w:szCs w:val="24"/>
          <w:lang w:val="en-GB"/>
        </w:rPr>
        <w:t xml:space="preserve"> itself</w:t>
      </w:r>
      <w:r w:rsidR="0004174C" w:rsidRPr="00D9246F">
        <w:rPr>
          <w:rFonts w:ascii="Cambria" w:hAnsi="Cambria" w:cs="Times New Roman"/>
          <w:sz w:val="24"/>
          <w:szCs w:val="24"/>
          <w:lang w:val="en-GB"/>
        </w:rPr>
        <w:t xml:space="preserve">. This </w:t>
      </w:r>
      <w:r w:rsidR="000A4309" w:rsidRPr="00D9246F">
        <w:rPr>
          <w:rFonts w:ascii="Cambria" w:hAnsi="Cambria" w:cs="Times New Roman"/>
          <w:sz w:val="24"/>
          <w:szCs w:val="24"/>
          <w:lang w:val="en-GB"/>
        </w:rPr>
        <w:t>examination</w:t>
      </w:r>
      <w:r w:rsidR="0004174C" w:rsidRPr="00D9246F">
        <w:rPr>
          <w:rFonts w:ascii="Cambria" w:hAnsi="Cambria" w:cs="Times New Roman"/>
          <w:sz w:val="24"/>
          <w:szCs w:val="24"/>
          <w:lang w:val="en-GB"/>
        </w:rPr>
        <w:t xml:space="preserve">, carried out in consideration of the current systemic position of the </w:t>
      </w:r>
      <w:r w:rsidR="000A4309" w:rsidRPr="00D9246F">
        <w:rPr>
          <w:rFonts w:ascii="Cambria" w:hAnsi="Cambria" w:cs="Times New Roman"/>
          <w:sz w:val="24"/>
          <w:szCs w:val="24"/>
          <w:lang w:val="en-GB"/>
        </w:rPr>
        <w:t xml:space="preserve">Polish </w:t>
      </w:r>
      <w:r w:rsidR="0004174C" w:rsidRPr="00D9246F">
        <w:rPr>
          <w:rFonts w:ascii="Cambria" w:hAnsi="Cambria" w:cs="Times New Roman"/>
          <w:sz w:val="24"/>
          <w:szCs w:val="24"/>
          <w:lang w:val="en-GB"/>
        </w:rPr>
        <w:t>NCJ, which is directly responsible for the nomination of every judicial candidate, including members of the Disciplinary Chamber, in the event of a negative result, entitles the Supreme Court to waive the rules of national law which grant jurisdiction to the Disciplinary Chamber</w:t>
      </w:r>
      <w:r w:rsidR="0004174C" w:rsidRPr="00D9246F">
        <w:rPr>
          <w:rStyle w:val="Odwoanieprzypisudolnego"/>
          <w:rFonts w:ascii="Cambria" w:hAnsi="Cambria" w:cs="Times New Roman"/>
          <w:sz w:val="24"/>
          <w:szCs w:val="24"/>
          <w:lang w:val="en-GB"/>
        </w:rPr>
        <w:footnoteReference w:id="5"/>
      </w:r>
      <w:r w:rsidR="00FF28F2" w:rsidRPr="00D9246F">
        <w:rPr>
          <w:rFonts w:ascii="Cambria" w:hAnsi="Cambria" w:cs="Times New Roman"/>
          <w:sz w:val="24"/>
          <w:szCs w:val="24"/>
          <w:lang w:val="en-GB"/>
        </w:rPr>
        <w:t xml:space="preserve">. As for the requirements of an independent and impartial body of judicial power outlined by the CJEU, first and foremost such body should meet the requirements of external independence, which is the ability to carry out its tasks fully autonomously without outside interference or pressure in any form, and internal independence, which </w:t>
      </w:r>
      <w:r w:rsidR="000A4309" w:rsidRPr="00D9246F">
        <w:rPr>
          <w:rFonts w:ascii="Cambria" w:hAnsi="Cambria" w:cs="Times New Roman"/>
          <w:sz w:val="24"/>
          <w:szCs w:val="24"/>
          <w:lang w:val="en-GB"/>
        </w:rPr>
        <w:t xml:space="preserve">can be described as a </w:t>
      </w:r>
      <w:r w:rsidR="00FF28F2" w:rsidRPr="00D9246F">
        <w:rPr>
          <w:rFonts w:ascii="Cambria" w:hAnsi="Cambria" w:cs="Times New Roman"/>
          <w:sz w:val="24"/>
          <w:szCs w:val="24"/>
          <w:lang w:val="en-GB"/>
        </w:rPr>
        <w:t>remoteness of the judge to the parties involved in the dispute and their interests, objectivity and the absence of any interest in resolving the issue without the rigid enforcement of the law. In addition</w:t>
      </w:r>
      <w:r w:rsidR="003D0CBC" w:rsidRPr="00D9246F">
        <w:rPr>
          <w:rFonts w:ascii="Cambria" w:hAnsi="Cambria" w:cs="Times New Roman"/>
          <w:sz w:val="24"/>
          <w:szCs w:val="24"/>
          <w:lang w:val="en-GB"/>
        </w:rPr>
        <w:t>,</w:t>
      </w:r>
      <w:r w:rsidR="00FF28F2" w:rsidRPr="00D9246F">
        <w:rPr>
          <w:rFonts w:ascii="Cambria" w:hAnsi="Cambria" w:cs="Times New Roman"/>
          <w:sz w:val="24"/>
          <w:szCs w:val="24"/>
          <w:lang w:val="en-GB"/>
        </w:rPr>
        <w:t xml:space="preserve"> the procedure of appointing the members of the judicial body, its systemic structure, the duration of its term of service, and the reasons for their exclusion or dismissal must be taken into consideration in such evaluation</w:t>
      </w:r>
      <w:r w:rsidR="00FF28F2" w:rsidRPr="00D9246F">
        <w:rPr>
          <w:rStyle w:val="Odwoanieprzypisudolnego"/>
          <w:rFonts w:ascii="Cambria" w:hAnsi="Cambria" w:cs="Times New Roman"/>
          <w:sz w:val="24"/>
          <w:szCs w:val="24"/>
          <w:lang w:val="en-GB"/>
        </w:rPr>
        <w:footnoteReference w:id="6"/>
      </w:r>
      <w:r w:rsidR="00FF28F2" w:rsidRPr="00D9246F">
        <w:rPr>
          <w:rFonts w:ascii="Cambria" w:hAnsi="Cambria" w:cs="Times New Roman"/>
          <w:sz w:val="24"/>
          <w:szCs w:val="24"/>
          <w:lang w:val="en-GB"/>
        </w:rPr>
        <w:t xml:space="preserve">. </w:t>
      </w:r>
      <w:r w:rsidR="000A4309" w:rsidRPr="00D9246F">
        <w:rPr>
          <w:rFonts w:ascii="Cambria" w:hAnsi="Cambria" w:cs="Times New Roman"/>
          <w:sz w:val="24"/>
          <w:szCs w:val="24"/>
          <w:lang w:val="en-GB"/>
        </w:rPr>
        <w:t>Moreover</w:t>
      </w:r>
      <w:r w:rsidR="00FF28F2" w:rsidRPr="00D9246F">
        <w:rPr>
          <w:rFonts w:ascii="Cambria" w:hAnsi="Cambria" w:cs="Times New Roman"/>
          <w:sz w:val="24"/>
          <w:szCs w:val="24"/>
          <w:lang w:val="en-GB"/>
        </w:rPr>
        <w:t>, in examining the fulfilment of those requirements, one of the factors would be whether the party involved in the proceedings done by said judicial body would be likely to have concerns that those requirements will not be met. However, The main factor will be whether these concerns can be considered objectively justified</w:t>
      </w:r>
      <w:r w:rsidR="00FF28F2" w:rsidRPr="00D9246F">
        <w:rPr>
          <w:rStyle w:val="Odwoanieprzypisudolnego"/>
          <w:rFonts w:ascii="Cambria" w:hAnsi="Cambria" w:cs="Times New Roman"/>
          <w:sz w:val="24"/>
          <w:szCs w:val="24"/>
          <w:lang w:val="en-GB"/>
        </w:rPr>
        <w:footnoteReference w:id="7"/>
      </w:r>
      <w:r w:rsidR="00FF28F2" w:rsidRPr="00D9246F">
        <w:rPr>
          <w:rFonts w:ascii="Cambria" w:hAnsi="Cambria" w:cs="Times New Roman"/>
          <w:sz w:val="24"/>
          <w:szCs w:val="24"/>
          <w:lang w:val="en-GB"/>
        </w:rPr>
        <w:t xml:space="preserve">. According to CJEU, the major participation of the NCJ </w:t>
      </w:r>
      <w:r w:rsidR="000A4309" w:rsidRPr="00D9246F">
        <w:rPr>
          <w:rFonts w:ascii="Cambria" w:hAnsi="Cambria" w:cs="Times New Roman"/>
          <w:sz w:val="24"/>
          <w:szCs w:val="24"/>
          <w:lang w:val="en-GB"/>
        </w:rPr>
        <w:t xml:space="preserve">itself </w:t>
      </w:r>
      <w:r w:rsidR="00FF28F2" w:rsidRPr="00D9246F">
        <w:rPr>
          <w:rFonts w:ascii="Cambria" w:hAnsi="Cambria" w:cs="Times New Roman"/>
          <w:sz w:val="24"/>
          <w:szCs w:val="24"/>
          <w:lang w:val="en-GB"/>
        </w:rPr>
        <w:t>in the process of appointing judges, the role of the President in the procedure and the absence of judicial review of these decisions are not objectionable</w:t>
      </w:r>
      <w:r w:rsidR="00FF28F2" w:rsidRPr="00D9246F">
        <w:rPr>
          <w:rStyle w:val="Odwoanieprzypisudolnego"/>
          <w:rFonts w:ascii="Cambria" w:hAnsi="Cambria" w:cs="Times New Roman"/>
          <w:sz w:val="24"/>
          <w:szCs w:val="24"/>
          <w:lang w:val="en-GB"/>
        </w:rPr>
        <w:footnoteReference w:id="8"/>
      </w:r>
      <w:r w:rsidR="00FF28F2" w:rsidRPr="00D9246F">
        <w:rPr>
          <w:rFonts w:ascii="Cambria" w:hAnsi="Cambria" w:cs="Times New Roman"/>
          <w:sz w:val="24"/>
          <w:szCs w:val="24"/>
          <w:lang w:val="en-GB"/>
        </w:rPr>
        <w:t xml:space="preserve">. </w:t>
      </w:r>
      <w:r w:rsidR="000A4309" w:rsidRPr="00D9246F">
        <w:rPr>
          <w:rFonts w:ascii="Cambria" w:hAnsi="Cambria" w:cs="Times New Roman"/>
          <w:sz w:val="24"/>
          <w:szCs w:val="24"/>
          <w:lang w:val="en-GB"/>
        </w:rPr>
        <w:t>Nevertheless</w:t>
      </w:r>
      <w:r w:rsidR="008253C5" w:rsidRPr="00D9246F">
        <w:rPr>
          <w:rFonts w:ascii="Cambria" w:hAnsi="Cambria" w:cs="Times New Roman"/>
          <w:sz w:val="24"/>
          <w:szCs w:val="24"/>
          <w:lang w:val="en-GB"/>
        </w:rPr>
        <w:t xml:space="preserve">, the circumstances that may raise concerns about the independence and impartiality of the </w:t>
      </w:r>
      <w:r w:rsidR="000A4309" w:rsidRPr="00D9246F">
        <w:rPr>
          <w:rFonts w:ascii="Cambria" w:hAnsi="Cambria" w:cs="Times New Roman"/>
          <w:sz w:val="24"/>
          <w:szCs w:val="24"/>
          <w:lang w:val="en-GB"/>
        </w:rPr>
        <w:t xml:space="preserve">reformed </w:t>
      </w:r>
      <w:r w:rsidR="008253C5" w:rsidRPr="00D9246F">
        <w:rPr>
          <w:rFonts w:ascii="Cambria" w:hAnsi="Cambria" w:cs="Times New Roman"/>
          <w:sz w:val="24"/>
          <w:szCs w:val="24"/>
          <w:lang w:val="en-GB"/>
        </w:rPr>
        <w:t xml:space="preserve">NCJ are, in particular, the fact that </w:t>
      </w:r>
      <w:r w:rsidR="000A4309" w:rsidRPr="00D9246F">
        <w:rPr>
          <w:rFonts w:ascii="Cambria" w:hAnsi="Cambria" w:cs="Times New Roman"/>
          <w:sz w:val="24"/>
          <w:szCs w:val="24"/>
          <w:lang w:val="en-GB"/>
        </w:rPr>
        <w:t>it</w:t>
      </w:r>
      <w:r w:rsidR="008253C5" w:rsidRPr="00D9246F">
        <w:rPr>
          <w:rFonts w:ascii="Cambria" w:hAnsi="Cambria" w:cs="Times New Roman"/>
          <w:sz w:val="24"/>
          <w:szCs w:val="24"/>
          <w:lang w:val="en-GB"/>
        </w:rPr>
        <w:t xml:space="preserve"> was created during the ongoing, constitutional, 4-year term of its previously </w:t>
      </w:r>
      <w:r w:rsidR="000A4309" w:rsidRPr="00D9246F">
        <w:rPr>
          <w:rFonts w:ascii="Cambria" w:hAnsi="Cambria" w:cs="Times New Roman"/>
          <w:sz w:val="24"/>
          <w:szCs w:val="24"/>
          <w:lang w:val="en-GB"/>
        </w:rPr>
        <w:t>appointed</w:t>
      </w:r>
      <w:r w:rsidR="008253C5" w:rsidRPr="00D9246F">
        <w:rPr>
          <w:rFonts w:ascii="Cambria" w:hAnsi="Cambria" w:cs="Times New Roman"/>
          <w:sz w:val="24"/>
          <w:szCs w:val="24"/>
          <w:lang w:val="en-GB"/>
        </w:rPr>
        <w:t xml:space="preserve"> members and the replacement of the appointers of the 15 members of the NCJ from the judiciary to a</w:t>
      </w:r>
      <w:r w:rsidR="008C186A" w:rsidRPr="00D9246F">
        <w:rPr>
          <w:rFonts w:ascii="Cambria" w:hAnsi="Cambria" w:cs="Times New Roman"/>
          <w:sz w:val="24"/>
          <w:szCs w:val="24"/>
          <w:lang w:val="en-GB"/>
        </w:rPr>
        <w:t> </w:t>
      </w:r>
      <w:r w:rsidR="008253C5" w:rsidRPr="00D9246F">
        <w:rPr>
          <w:rFonts w:ascii="Cambria" w:hAnsi="Cambria" w:cs="Times New Roman"/>
          <w:sz w:val="24"/>
          <w:szCs w:val="24"/>
          <w:lang w:val="en-GB"/>
        </w:rPr>
        <w:t xml:space="preserve">qualified majority of 3/5 of the members of the parliament, which resulted in an increase in the number of NCJ </w:t>
      </w:r>
      <w:r w:rsidR="008253C5" w:rsidRPr="00D9246F">
        <w:rPr>
          <w:rFonts w:ascii="Cambria" w:hAnsi="Cambria" w:cs="Times New Roman"/>
          <w:sz w:val="24"/>
          <w:szCs w:val="24"/>
          <w:lang w:val="en-GB"/>
        </w:rPr>
        <w:lastRenderedPageBreak/>
        <w:t>members appointed by political forces or elected by them from 23 of the 25 body members</w:t>
      </w:r>
      <w:r w:rsidR="008253C5" w:rsidRPr="00D9246F">
        <w:rPr>
          <w:rStyle w:val="Odwoanieprzypisudolnego"/>
          <w:rFonts w:ascii="Cambria" w:hAnsi="Cambria" w:cs="Times New Roman"/>
          <w:sz w:val="24"/>
          <w:szCs w:val="24"/>
          <w:lang w:val="en-GB"/>
        </w:rPr>
        <w:footnoteReference w:id="9"/>
      </w:r>
      <w:r w:rsidR="00C22F28" w:rsidRPr="00D9246F">
        <w:rPr>
          <w:rFonts w:ascii="Cambria" w:hAnsi="Cambria" w:cs="Times New Roman"/>
          <w:sz w:val="24"/>
          <w:szCs w:val="24"/>
          <w:lang w:val="en-GB"/>
        </w:rPr>
        <w:t>.</w:t>
      </w:r>
    </w:p>
    <w:p w14:paraId="601393E5" w14:textId="77777777" w:rsidR="008C186A" w:rsidRPr="00D9246F" w:rsidRDefault="00C22F28" w:rsidP="00D9246F">
      <w:pPr>
        <w:spacing w:after="0" w:line="360" w:lineRule="auto"/>
        <w:jc w:val="both"/>
        <w:rPr>
          <w:rFonts w:ascii="Cambria" w:hAnsi="Cambria" w:cs="Times New Roman"/>
          <w:sz w:val="24"/>
          <w:szCs w:val="24"/>
          <w:lang w:val="en-GB"/>
        </w:rPr>
      </w:pPr>
      <w:r w:rsidRPr="00D9246F">
        <w:rPr>
          <w:rFonts w:ascii="Cambria" w:hAnsi="Cambria" w:cs="Times New Roman"/>
          <w:sz w:val="24"/>
          <w:szCs w:val="24"/>
          <w:lang w:val="en-GB"/>
        </w:rPr>
        <w:tab/>
        <w:t>The CJEU judgment resulted in a ruling by the Supreme Court on December 5, 2019, which determined that, in light of the independence and impartiality requirements presented by the CJEU, in this particular case</w:t>
      </w:r>
      <w:r w:rsidR="000A4309" w:rsidRPr="00D9246F">
        <w:rPr>
          <w:rFonts w:ascii="Cambria" w:hAnsi="Cambria" w:cs="Times New Roman"/>
          <w:sz w:val="24"/>
          <w:szCs w:val="24"/>
          <w:lang w:val="en-GB"/>
        </w:rPr>
        <w:t>,</w:t>
      </w:r>
      <w:r w:rsidRPr="00D9246F">
        <w:rPr>
          <w:rFonts w:ascii="Cambria" w:hAnsi="Cambria" w:cs="Times New Roman"/>
          <w:sz w:val="24"/>
          <w:szCs w:val="24"/>
          <w:lang w:val="en-GB"/>
        </w:rPr>
        <w:t xml:space="preserve"> the newly reformed NCJ is not an independent and impartial </w:t>
      </w:r>
      <w:r w:rsidR="000A4309" w:rsidRPr="00D9246F">
        <w:rPr>
          <w:rFonts w:ascii="Cambria" w:hAnsi="Cambria" w:cs="Times New Roman"/>
          <w:sz w:val="24"/>
          <w:szCs w:val="24"/>
          <w:lang w:val="en-GB"/>
        </w:rPr>
        <w:t xml:space="preserve">judicial </w:t>
      </w:r>
      <w:r w:rsidRPr="00D9246F">
        <w:rPr>
          <w:rFonts w:ascii="Cambria" w:hAnsi="Cambria" w:cs="Times New Roman"/>
          <w:sz w:val="24"/>
          <w:szCs w:val="24"/>
          <w:lang w:val="en-GB"/>
        </w:rPr>
        <w:t xml:space="preserve">body. </w:t>
      </w:r>
      <w:r w:rsidR="000A4309" w:rsidRPr="00D9246F">
        <w:rPr>
          <w:rFonts w:ascii="Cambria" w:hAnsi="Cambria" w:cs="Times New Roman"/>
          <w:sz w:val="24"/>
          <w:szCs w:val="24"/>
          <w:lang w:val="en-GB"/>
        </w:rPr>
        <w:t>Furthermore</w:t>
      </w:r>
      <w:r w:rsidRPr="00D9246F">
        <w:rPr>
          <w:rFonts w:ascii="Cambria" w:hAnsi="Cambria" w:cs="Times New Roman"/>
          <w:sz w:val="24"/>
          <w:szCs w:val="24"/>
          <w:lang w:val="en-GB"/>
        </w:rPr>
        <w:t xml:space="preserve">, there are significant doubts whether a judge appointed in such procedure is a lawful judge with the attribute of impartiality. </w:t>
      </w:r>
      <w:r w:rsidR="000A4309" w:rsidRPr="00D9246F">
        <w:rPr>
          <w:rFonts w:ascii="Cambria" w:hAnsi="Cambria" w:cs="Times New Roman"/>
          <w:sz w:val="24"/>
          <w:szCs w:val="24"/>
          <w:lang w:val="en-GB"/>
        </w:rPr>
        <w:t>This indicates that</w:t>
      </w:r>
      <w:r w:rsidRPr="00D9246F">
        <w:rPr>
          <w:rFonts w:ascii="Cambria" w:hAnsi="Cambria" w:cs="Times New Roman"/>
          <w:sz w:val="24"/>
          <w:szCs w:val="24"/>
          <w:lang w:val="en-GB"/>
        </w:rPr>
        <w:t xml:space="preserve"> the Disciplinary Chamber cannot be described as a lawful, democratic court</w:t>
      </w:r>
      <w:r w:rsidR="00CA0668" w:rsidRPr="00D9246F">
        <w:rPr>
          <w:rStyle w:val="Odwoanieprzypisudolnego"/>
          <w:rFonts w:ascii="Cambria" w:hAnsi="Cambria" w:cs="Times New Roman"/>
          <w:sz w:val="24"/>
          <w:szCs w:val="24"/>
          <w:lang w:val="en-GB"/>
        </w:rPr>
        <w:footnoteReference w:id="10"/>
      </w:r>
      <w:r w:rsidR="00CA0668" w:rsidRPr="00D9246F">
        <w:rPr>
          <w:rFonts w:ascii="Cambria" w:hAnsi="Cambria" w:cs="Times New Roman"/>
          <w:sz w:val="24"/>
          <w:szCs w:val="24"/>
          <w:lang w:val="en-GB"/>
        </w:rPr>
        <w:t xml:space="preserve">. </w:t>
      </w:r>
      <w:r w:rsidR="000A4309" w:rsidRPr="00D9246F">
        <w:rPr>
          <w:rFonts w:ascii="Cambria" w:hAnsi="Cambria" w:cs="Times New Roman"/>
          <w:sz w:val="24"/>
          <w:szCs w:val="24"/>
          <w:lang w:val="en-GB"/>
        </w:rPr>
        <w:t>Despite that</w:t>
      </w:r>
      <w:r w:rsidR="00CA0668" w:rsidRPr="00D9246F">
        <w:rPr>
          <w:rFonts w:ascii="Cambria" w:hAnsi="Cambria" w:cs="Times New Roman"/>
          <w:sz w:val="24"/>
          <w:szCs w:val="24"/>
          <w:lang w:val="en-GB"/>
        </w:rPr>
        <w:t xml:space="preserve">, the resolution of the Supreme Court's Extraordinary and Public Review Chamber of January 8, 2020, presented the view that </w:t>
      </w:r>
      <w:r w:rsidR="000A4309" w:rsidRPr="00D9246F">
        <w:rPr>
          <w:rFonts w:ascii="Cambria" w:hAnsi="Cambria" w:cs="Times New Roman"/>
          <w:sz w:val="24"/>
          <w:szCs w:val="24"/>
          <w:lang w:val="en-GB"/>
        </w:rPr>
        <w:t>even when taking into consideration</w:t>
      </w:r>
      <w:r w:rsidR="00CA0668" w:rsidRPr="00D9246F">
        <w:rPr>
          <w:rFonts w:ascii="Cambria" w:hAnsi="Cambria" w:cs="Times New Roman"/>
          <w:sz w:val="24"/>
          <w:szCs w:val="24"/>
          <w:lang w:val="en-GB"/>
        </w:rPr>
        <w:t xml:space="preserve"> the doubts </w:t>
      </w:r>
      <w:r w:rsidR="000A4309" w:rsidRPr="00D9246F">
        <w:rPr>
          <w:rFonts w:ascii="Cambria" w:hAnsi="Cambria" w:cs="Times New Roman"/>
          <w:sz w:val="24"/>
          <w:szCs w:val="24"/>
          <w:lang w:val="en-GB"/>
        </w:rPr>
        <w:t>regarding</w:t>
      </w:r>
      <w:r w:rsidR="00CA0668" w:rsidRPr="00D9246F">
        <w:rPr>
          <w:rFonts w:ascii="Cambria" w:hAnsi="Cambria" w:cs="Times New Roman"/>
          <w:sz w:val="24"/>
          <w:szCs w:val="24"/>
          <w:lang w:val="en-GB"/>
        </w:rPr>
        <w:t xml:space="preserve"> the independence and impartiality of the NCJ, the President's decision </w:t>
      </w:r>
      <w:proofErr w:type="spellStart"/>
      <w:r w:rsidR="00CA0668" w:rsidRPr="00D9246F">
        <w:rPr>
          <w:rFonts w:ascii="Cambria" w:hAnsi="Cambria" w:cs="Times New Roman"/>
          <w:sz w:val="24"/>
          <w:szCs w:val="24"/>
          <w:lang w:val="en-GB"/>
        </w:rPr>
        <w:t>convalidates</w:t>
      </w:r>
      <w:proofErr w:type="spellEnd"/>
      <w:r w:rsidR="00CA0668" w:rsidRPr="00D9246F">
        <w:rPr>
          <w:rFonts w:ascii="Cambria" w:hAnsi="Cambria" w:cs="Times New Roman"/>
          <w:sz w:val="24"/>
          <w:szCs w:val="24"/>
          <w:lang w:val="en-GB"/>
        </w:rPr>
        <w:t xml:space="preserve"> all possible deficiencies, including the NCJ's alleged defectiveness</w:t>
      </w:r>
      <w:r w:rsidR="00CA0668" w:rsidRPr="00D9246F">
        <w:rPr>
          <w:rStyle w:val="Odwoanieprzypisudolnego"/>
          <w:rFonts w:ascii="Cambria" w:hAnsi="Cambria" w:cs="Times New Roman"/>
          <w:sz w:val="24"/>
          <w:szCs w:val="24"/>
          <w:lang w:val="en-GB"/>
        </w:rPr>
        <w:footnoteReference w:id="11"/>
      </w:r>
      <w:r w:rsidR="005A609C" w:rsidRPr="00D9246F">
        <w:rPr>
          <w:rFonts w:ascii="Cambria" w:hAnsi="Cambria" w:cs="Times New Roman"/>
          <w:sz w:val="24"/>
          <w:szCs w:val="24"/>
          <w:lang w:val="en-GB"/>
        </w:rPr>
        <w:t>; this constituted a fundamental divergence in the jurisprudence of the Supreme Court. At the request of the then First President of the Supreme Court, Professor Małgorzata Gersdorf, a resolution was passed by the three combined Chambers of the Supreme Court in order to unify the jurisprudence of the Supreme Court on January 23, 2020. It determined that the Disciplinary Chamber of the Supreme Court, whose members were appointed with the involvement of the defective NCJ, which does not meet the standards set by the CJEU, is not an impartial and independent body of jurisprudence, and its vacated members are disqualified by the fact that the structure of this specific court does not comply with Article 175 of the Polish Constitution  - it was ruled, that it is an exceptional court, which can only be appointed in times of war. If it comes to other judges, it was stressed that the impartiality and independence of a judge must be examined in each specific case if that judge was appointed with the participation of the defectively functioning NCJ in its current form. It was also recognized that in the present situation of legal uncertainty, a judge should also take into consideration the institutional status of other fellow judges appointed to rule in the same case</w:t>
      </w:r>
      <w:r w:rsidR="005A609C" w:rsidRPr="00D9246F">
        <w:rPr>
          <w:rStyle w:val="Odwoanieprzypisudolnego"/>
          <w:rFonts w:ascii="Cambria" w:hAnsi="Cambria" w:cs="Times New Roman"/>
          <w:sz w:val="24"/>
          <w:szCs w:val="24"/>
          <w:lang w:val="en-GB"/>
        </w:rPr>
        <w:footnoteReference w:id="12"/>
      </w:r>
      <w:r w:rsidR="005A609C" w:rsidRPr="00D9246F">
        <w:rPr>
          <w:rFonts w:ascii="Cambria" w:hAnsi="Cambria" w:cs="Times New Roman"/>
          <w:sz w:val="24"/>
          <w:szCs w:val="24"/>
          <w:lang w:val="en-GB"/>
        </w:rPr>
        <w:t xml:space="preserve">. </w:t>
      </w:r>
      <w:r w:rsidR="00640D23" w:rsidRPr="00D9246F">
        <w:rPr>
          <w:rFonts w:ascii="Cambria" w:hAnsi="Cambria" w:cs="Times New Roman"/>
          <w:sz w:val="24"/>
          <w:szCs w:val="24"/>
          <w:lang w:val="en-GB"/>
        </w:rPr>
        <w:t xml:space="preserve">In response to the previously mentioned rulings on the legitimacy and impartiality of the NCJ, the Polish Parliament introduced the new Law on the System of Common Courts Act of December 20, 2019, thus </w:t>
      </w:r>
      <w:r w:rsidR="00640D23" w:rsidRPr="00D9246F">
        <w:rPr>
          <w:rFonts w:ascii="Cambria" w:hAnsi="Cambria" w:cs="Times New Roman"/>
          <w:sz w:val="24"/>
          <w:szCs w:val="24"/>
          <w:lang w:val="en-GB"/>
        </w:rPr>
        <w:lastRenderedPageBreak/>
        <w:t>introducing, among various new regulations, the disciplinary responsibility of judges</w:t>
      </w:r>
      <w:r w:rsidR="00640D23" w:rsidRPr="00D9246F">
        <w:rPr>
          <w:rStyle w:val="Odwoanieprzypisudolnego"/>
          <w:rFonts w:ascii="Cambria" w:hAnsi="Cambria" w:cs="Times New Roman"/>
          <w:sz w:val="24"/>
          <w:szCs w:val="24"/>
          <w:lang w:val="en-GB"/>
        </w:rPr>
        <w:footnoteReference w:id="13"/>
      </w:r>
      <w:r w:rsidR="00640D23" w:rsidRPr="00D9246F">
        <w:rPr>
          <w:rFonts w:ascii="Cambria" w:hAnsi="Cambria" w:cs="Times New Roman"/>
          <w:sz w:val="24"/>
          <w:szCs w:val="24"/>
          <w:lang w:val="en-GB"/>
        </w:rPr>
        <w:t>.</w:t>
      </w:r>
      <w:r w:rsidR="0004174C" w:rsidRPr="00D9246F">
        <w:rPr>
          <w:rFonts w:ascii="Cambria" w:hAnsi="Cambria" w:cs="Times New Roman"/>
          <w:sz w:val="24"/>
          <w:szCs w:val="24"/>
          <w:lang w:val="en-GB"/>
        </w:rPr>
        <w:tab/>
      </w:r>
    </w:p>
    <w:p w14:paraId="1B6211B7" w14:textId="77777777" w:rsidR="008C186A" w:rsidRPr="00D9246F" w:rsidRDefault="008C186A" w:rsidP="00D9246F">
      <w:pPr>
        <w:spacing w:after="0" w:line="360" w:lineRule="auto"/>
        <w:ind w:firstLine="708"/>
        <w:jc w:val="both"/>
        <w:rPr>
          <w:rFonts w:ascii="Cambria" w:hAnsi="Cambria" w:cs="Times New Roman"/>
          <w:sz w:val="24"/>
          <w:szCs w:val="24"/>
          <w:lang w:val="en-GB"/>
        </w:rPr>
      </w:pPr>
      <w:r w:rsidRPr="00D9246F">
        <w:rPr>
          <w:rFonts w:ascii="Cambria" w:hAnsi="Cambria" w:cs="Times New Roman"/>
          <w:sz w:val="24"/>
          <w:szCs w:val="24"/>
          <w:lang w:val="en-GB"/>
        </w:rPr>
        <w:t>On February 20, 2024, a bill to amend the law on the National Council of the Judiciary, prepared by the Ministry of Justice, was submitted to the Speaker of the Parliament</w:t>
      </w:r>
      <w:r w:rsidRPr="00D9246F">
        <w:rPr>
          <w:rStyle w:val="Odwoanieprzypisudolnego"/>
          <w:rFonts w:ascii="Cambria" w:hAnsi="Cambria" w:cs="Times New Roman"/>
          <w:sz w:val="24"/>
          <w:szCs w:val="24"/>
          <w:lang w:val="en-GB"/>
        </w:rPr>
        <w:footnoteReference w:id="14"/>
      </w:r>
      <w:r w:rsidRPr="00D9246F">
        <w:rPr>
          <w:rFonts w:ascii="Cambria" w:hAnsi="Cambria" w:cs="Times New Roman"/>
          <w:sz w:val="24"/>
          <w:szCs w:val="24"/>
          <w:lang w:val="en-GB"/>
        </w:rPr>
        <w:t>. The draft provides for a number of changes that, in the view of the current government coalition, are intended to make the NCJ independent from the legislature, rebuild public trust in the judiciary, and constitute a further step towards restoring the rule of law in Poland, which has been called into question due to the reforms introduced by the United Right government in 2015-2023. It assumes, among other things, the restoration of the way in which the 15 members-judges of the NCJ are appointed by the judicial community, and not - as under the previous amendment - by the Parliament</w:t>
      </w:r>
      <w:r w:rsidRPr="00D9246F">
        <w:rPr>
          <w:rStyle w:val="Odwoanieprzypisudolnego"/>
          <w:rFonts w:ascii="Cambria" w:hAnsi="Cambria" w:cs="Times New Roman"/>
          <w:sz w:val="24"/>
          <w:szCs w:val="24"/>
          <w:lang w:val="en-GB"/>
        </w:rPr>
        <w:footnoteReference w:id="15"/>
      </w:r>
      <w:r w:rsidRPr="00D9246F">
        <w:rPr>
          <w:rFonts w:ascii="Cambria" w:hAnsi="Cambria" w:cs="Times New Roman"/>
          <w:sz w:val="24"/>
          <w:szCs w:val="24"/>
          <w:lang w:val="en-GB"/>
        </w:rPr>
        <w:t xml:space="preserve">. </w:t>
      </w:r>
    </w:p>
    <w:p w14:paraId="6AFFE771" w14:textId="17504205" w:rsidR="00505CC1" w:rsidRPr="00D9246F" w:rsidRDefault="008C186A" w:rsidP="00D9246F">
      <w:pPr>
        <w:spacing w:after="0" w:line="360" w:lineRule="auto"/>
        <w:ind w:firstLine="708"/>
        <w:jc w:val="both"/>
        <w:rPr>
          <w:rFonts w:ascii="Cambria" w:hAnsi="Cambria" w:cs="Times New Roman"/>
          <w:sz w:val="24"/>
          <w:szCs w:val="24"/>
          <w:lang w:val="en-GB"/>
        </w:rPr>
      </w:pPr>
      <w:r w:rsidRPr="00D9246F">
        <w:rPr>
          <w:rFonts w:ascii="Cambria" w:hAnsi="Cambria" w:cs="Times New Roman"/>
          <w:sz w:val="24"/>
          <w:szCs w:val="24"/>
          <w:lang w:val="en-GB"/>
        </w:rPr>
        <w:t xml:space="preserve">As the draft has not yet reached its final legislative form at this point, making an assessment of the structure of the National Council of the Judiciary based on it in the event of the potential adoption of a law changing its shape by the Sejm remains impossible at present. </w:t>
      </w:r>
    </w:p>
    <w:sectPr w:rsidR="00505CC1" w:rsidRPr="00D924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F2F3" w14:textId="77777777" w:rsidR="00165C37" w:rsidRDefault="00165C37" w:rsidP="00D33D98">
      <w:pPr>
        <w:spacing w:after="0" w:line="240" w:lineRule="auto"/>
      </w:pPr>
      <w:r>
        <w:separator/>
      </w:r>
    </w:p>
  </w:endnote>
  <w:endnote w:type="continuationSeparator" w:id="0">
    <w:p w14:paraId="37497DD5" w14:textId="77777777" w:rsidR="00165C37" w:rsidRDefault="00165C37" w:rsidP="00D3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BAD5" w14:textId="77777777" w:rsidR="00165C37" w:rsidRDefault="00165C37" w:rsidP="00D33D98">
      <w:pPr>
        <w:spacing w:after="0" w:line="240" w:lineRule="auto"/>
      </w:pPr>
      <w:r>
        <w:separator/>
      </w:r>
    </w:p>
  </w:footnote>
  <w:footnote w:type="continuationSeparator" w:id="0">
    <w:p w14:paraId="6D6E982F" w14:textId="77777777" w:rsidR="00165C37" w:rsidRDefault="00165C37" w:rsidP="00D33D98">
      <w:pPr>
        <w:spacing w:after="0" w:line="240" w:lineRule="auto"/>
      </w:pPr>
      <w:r>
        <w:continuationSeparator/>
      </w:r>
    </w:p>
  </w:footnote>
  <w:footnote w:id="1">
    <w:p w14:paraId="04C257D4" w14:textId="17CB2D4B" w:rsidR="00D33D98" w:rsidRPr="00D9246F" w:rsidRDefault="00D33D98" w:rsidP="003708C1">
      <w:pPr>
        <w:pStyle w:val="Tekstprzypisudolnego"/>
        <w:jc w:val="both"/>
        <w:rPr>
          <w:rFonts w:ascii="Cambria" w:hAnsi="Cambria" w:cs="Times New Roman"/>
          <w:lang w:val="en-GB"/>
        </w:rPr>
      </w:pPr>
      <w:r w:rsidRPr="00D9246F">
        <w:rPr>
          <w:rStyle w:val="Odwoanieprzypisudolnego"/>
          <w:rFonts w:ascii="Cambria" w:hAnsi="Cambria" w:cs="Times New Roman"/>
        </w:rPr>
        <w:footnoteRef/>
      </w:r>
      <w:r w:rsidRPr="00D9246F">
        <w:rPr>
          <w:rFonts w:ascii="Cambria" w:hAnsi="Cambria" w:cs="Times New Roman"/>
          <w:lang w:val="en-GB"/>
        </w:rPr>
        <w:t xml:space="preserve"> </w:t>
      </w:r>
      <w:r w:rsidR="00636100" w:rsidRPr="00D9246F">
        <w:rPr>
          <w:rFonts w:ascii="Cambria" w:hAnsi="Cambria" w:cs="Times New Roman"/>
          <w:lang w:val="en-GB"/>
        </w:rPr>
        <w:t>The Supreme Court Act of December 8</w:t>
      </w:r>
      <w:r w:rsidR="00636100" w:rsidRPr="00D9246F">
        <w:rPr>
          <w:rFonts w:ascii="Cambria" w:hAnsi="Cambria" w:cs="Times New Roman"/>
          <w:vertAlign w:val="superscript"/>
          <w:lang w:val="en-GB"/>
        </w:rPr>
        <w:t>th</w:t>
      </w:r>
      <w:r w:rsidR="00636100" w:rsidRPr="00D9246F">
        <w:rPr>
          <w:rFonts w:ascii="Cambria" w:hAnsi="Cambria" w:cs="Times New Roman"/>
          <w:lang w:val="en-GB"/>
        </w:rPr>
        <w:t xml:space="preserve"> 2017, Journal of Laws. 2018 item 5</w:t>
      </w:r>
    </w:p>
  </w:footnote>
  <w:footnote w:id="2">
    <w:p w14:paraId="0C029793" w14:textId="1E2B7868" w:rsidR="00636100" w:rsidRPr="00D9246F" w:rsidRDefault="00636100" w:rsidP="0004174C">
      <w:pPr>
        <w:spacing w:after="0"/>
        <w:jc w:val="both"/>
        <w:rPr>
          <w:rFonts w:ascii="Cambria" w:hAnsi="Cambria" w:cs="Times New Roman"/>
          <w:sz w:val="20"/>
          <w:szCs w:val="20"/>
        </w:rPr>
      </w:pPr>
      <w:r w:rsidRPr="00D9246F">
        <w:rPr>
          <w:rStyle w:val="Odwoanieprzypisudolnego"/>
          <w:rFonts w:ascii="Cambria" w:hAnsi="Cambria" w:cs="Times New Roman"/>
          <w:sz w:val="20"/>
          <w:szCs w:val="20"/>
        </w:rPr>
        <w:footnoteRef/>
      </w:r>
      <w:r w:rsidRPr="00D9246F">
        <w:rPr>
          <w:rFonts w:ascii="Cambria" w:hAnsi="Cambria" w:cs="Times New Roman"/>
          <w:sz w:val="20"/>
          <w:szCs w:val="20"/>
          <w:lang w:val="en-GB"/>
        </w:rPr>
        <w:t xml:space="preserve"> Judgment of the </w:t>
      </w:r>
      <w:r w:rsidRPr="00D9246F">
        <w:rPr>
          <w:rStyle w:val="Uwydatnienie"/>
          <w:rFonts w:ascii="Cambria" w:hAnsi="Cambria" w:cs="Times New Roman"/>
          <w:i w:val="0"/>
          <w:iCs w:val="0"/>
          <w:sz w:val="20"/>
          <w:szCs w:val="20"/>
          <w:lang w:val="en-GB"/>
        </w:rPr>
        <w:t>Court</w:t>
      </w:r>
      <w:r w:rsidRPr="00D9246F">
        <w:rPr>
          <w:rFonts w:ascii="Cambria" w:hAnsi="Cambria" w:cs="Times New Roman"/>
          <w:sz w:val="20"/>
          <w:szCs w:val="20"/>
          <w:lang w:val="en-GB"/>
        </w:rPr>
        <w:t xml:space="preserve"> (Grand Chamber) of </w:t>
      </w:r>
      <w:r w:rsidRPr="00D9246F">
        <w:rPr>
          <w:rStyle w:val="Uwydatnienie"/>
          <w:rFonts w:ascii="Cambria" w:hAnsi="Cambria" w:cs="Times New Roman"/>
          <w:i w:val="0"/>
          <w:iCs w:val="0"/>
          <w:sz w:val="20"/>
          <w:szCs w:val="20"/>
          <w:lang w:val="en-GB"/>
        </w:rPr>
        <w:t>19 November 2019</w:t>
      </w:r>
      <w:r w:rsidRPr="00D9246F">
        <w:rPr>
          <w:rFonts w:ascii="Cambria" w:hAnsi="Cambria" w:cs="Times New Roman"/>
          <w:sz w:val="20"/>
          <w:szCs w:val="20"/>
          <w:lang w:val="en-GB"/>
        </w:rPr>
        <w:t xml:space="preserve">. </w:t>
      </w:r>
      <w:r w:rsidRPr="00D9246F">
        <w:rPr>
          <w:rStyle w:val="Uwydatnienie"/>
          <w:rFonts w:ascii="Cambria" w:hAnsi="Cambria" w:cs="Times New Roman"/>
          <w:i w:val="0"/>
          <w:iCs w:val="0"/>
          <w:sz w:val="20"/>
          <w:szCs w:val="20"/>
        </w:rPr>
        <w:t>A. K.</w:t>
      </w:r>
      <w:r w:rsidRPr="00D9246F">
        <w:rPr>
          <w:rFonts w:ascii="Cambria" w:hAnsi="Cambria" w:cs="Times New Roman"/>
          <w:i/>
          <w:iCs/>
          <w:sz w:val="20"/>
          <w:szCs w:val="20"/>
        </w:rPr>
        <w:t xml:space="preserve"> </w:t>
      </w:r>
      <w:r w:rsidRPr="00D9246F">
        <w:rPr>
          <w:rFonts w:ascii="Cambria" w:hAnsi="Cambria" w:cs="Times New Roman"/>
          <w:sz w:val="20"/>
          <w:szCs w:val="20"/>
        </w:rPr>
        <w:t>and Others v Sąd Najwyższy, C</w:t>
      </w:r>
      <w:r w:rsidR="0004174C" w:rsidRPr="00D9246F">
        <w:rPr>
          <w:rFonts w:ascii="Cambria" w:hAnsi="Cambria" w:cs="Times New Roman"/>
          <w:sz w:val="20"/>
          <w:szCs w:val="20"/>
        </w:rPr>
        <w:t>.</w:t>
      </w:r>
      <w:r w:rsidRPr="00D9246F">
        <w:rPr>
          <w:rFonts w:ascii="Cambria" w:hAnsi="Cambria" w:cs="Times New Roman"/>
          <w:sz w:val="20"/>
          <w:szCs w:val="20"/>
        </w:rPr>
        <w:t>P</w:t>
      </w:r>
      <w:r w:rsidR="0004174C" w:rsidRPr="00D9246F">
        <w:rPr>
          <w:rFonts w:ascii="Cambria" w:hAnsi="Cambria" w:cs="Times New Roman"/>
          <w:sz w:val="20"/>
          <w:szCs w:val="20"/>
        </w:rPr>
        <w:t>.</w:t>
      </w:r>
      <w:r w:rsidRPr="00D9246F">
        <w:rPr>
          <w:rFonts w:ascii="Cambria" w:hAnsi="Cambria" w:cs="Times New Roman"/>
          <w:sz w:val="20"/>
          <w:szCs w:val="20"/>
        </w:rPr>
        <w:t xml:space="preserve"> v Sąd Najwyższy and D</w:t>
      </w:r>
      <w:r w:rsidR="0004174C" w:rsidRPr="00D9246F">
        <w:rPr>
          <w:rFonts w:ascii="Cambria" w:hAnsi="Cambria" w:cs="Times New Roman"/>
          <w:sz w:val="20"/>
          <w:szCs w:val="20"/>
        </w:rPr>
        <w:t>.</w:t>
      </w:r>
      <w:r w:rsidRPr="00D9246F">
        <w:rPr>
          <w:rFonts w:ascii="Cambria" w:hAnsi="Cambria" w:cs="Times New Roman"/>
          <w:sz w:val="20"/>
          <w:szCs w:val="20"/>
        </w:rPr>
        <w:t>O</w:t>
      </w:r>
      <w:r w:rsidR="0004174C" w:rsidRPr="00D9246F">
        <w:rPr>
          <w:rFonts w:ascii="Cambria" w:hAnsi="Cambria" w:cs="Times New Roman"/>
          <w:sz w:val="20"/>
          <w:szCs w:val="20"/>
        </w:rPr>
        <w:t>.</w:t>
      </w:r>
      <w:r w:rsidRPr="00D9246F">
        <w:rPr>
          <w:rFonts w:ascii="Cambria" w:hAnsi="Cambria" w:cs="Times New Roman"/>
          <w:sz w:val="20"/>
          <w:szCs w:val="20"/>
        </w:rPr>
        <w:t xml:space="preserve"> v Sąd Najwyższy, C</w:t>
      </w:r>
      <w:r w:rsidRPr="00D9246F">
        <w:rPr>
          <w:rFonts w:ascii="Cambria" w:hAnsi="Cambria" w:cs="Times New Roman"/>
          <w:sz w:val="20"/>
          <w:szCs w:val="20"/>
        </w:rPr>
        <w:noBreakHyphen/>
        <w:t>585/18, C</w:t>
      </w:r>
      <w:r w:rsidRPr="00D9246F">
        <w:rPr>
          <w:rFonts w:ascii="Cambria" w:hAnsi="Cambria" w:cs="Times New Roman"/>
          <w:sz w:val="20"/>
          <w:szCs w:val="20"/>
        </w:rPr>
        <w:noBreakHyphen/>
        <w:t>624/18 i C</w:t>
      </w:r>
      <w:r w:rsidRPr="00D9246F">
        <w:rPr>
          <w:rFonts w:ascii="Cambria" w:hAnsi="Cambria" w:cs="Times New Roman"/>
          <w:sz w:val="20"/>
          <w:szCs w:val="20"/>
        </w:rPr>
        <w:noBreakHyphen/>
        <w:t xml:space="preserve">625/18, </w:t>
      </w:r>
      <w:r w:rsidRPr="00D9246F">
        <w:rPr>
          <w:rStyle w:val="outputecliaff"/>
          <w:rFonts w:ascii="Cambria" w:hAnsi="Cambria" w:cs="Times New Roman"/>
          <w:sz w:val="20"/>
          <w:szCs w:val="20"/>
        </w:rPr>
        <w:t>ECLI:EUC:2019:982, paragraph 37-52</w:t>
      </w:r>
    </w:p>
  </w:footnote>
  <w:footnote w:id="3">
    <w:p w14:paraId="5E64EEB5" w14:textId="1ABB9EFB" w:rsidR="001C2214" w:rsidRPr="00D9246F" w:rsidRDefault="001C2214" w:rsidP="0004174C">
      <w:pPr>
        <w:pStyle w:val="Tekstprzypisudolnego"/>
        <w:rPr>
          <w:rFonts w:ascii="Cambria" w:hAnsi="Cambria" w:cs="Times New Roman"/>
          <w:lang w:val="en-GB"/>
        </w:rPr>
      </w:pPr>
      <w:r w:rsidRPr="00D9246F">
        <w:rPr>
          <w:rStyle w:val="Odwoanieprzypisudolnego"/>
          <w:rFonts w:ascii="Cambria" w:hAnsi="Cambria" w:cs="Times New Roman"/>
        </w:rPr>
        <w:footnoteRef/>
      </w:r>
      <w:r w:rsidRPr="00D9246F">
        <w:rPr>
          <w:rFonts w:ascii="Cambria" w:hAnsi="Cambria" w:cs="Times New Roman"/>
          <w:lang w:val="en-GB"/>
        </w:rPr>
        <w:t xml:space="preserve"> </w:t>
      </w:r>
      <w:r w:rsidR="0004174C" w:rsidRPr="00D9246F">
        <w:rPr>
          <w:rFonts w:ascii="Cambria" w:hAnsi="Cambria" w:cs="Times New Roman"/>
          <w:lang w:val="en-GB"/>
        </w:rPr>
        <w:t>Ibid. paragraph 53</w:t>
      </w:r>
    </w:p>
  </w:footnote>
  <w:footnote w:id="4">
    <w:p w14:paraId="60A0E524" w14:textId="7897F2E5" w:rsidR="001C2214" w:rsidRPr="00D9246F" w:rsidRDefault="001C2214" w:rsidP="008253C5">
      <w:pPr>
        <w:spacing w:after="0"/>
        <w:jc w:val="both"/>
        <w:rPr>
          <w:rFonts w:ascii="Cambria" w:hAnsi="Cambria" w:cs="Times New Roman"/>
          <w:sz w:val="20"/>
          <w:szCs w:val="20"/>
        </w:rPr>
      </w:pPr>
      <w:r w:rsidRPr="00D9246F">
        <w:rPr>
          <w:rStyle w:val="Odwoanieprzypisudolnego"/>
          <w:rFonts w:ascii="Cambria" w:hAnsi="Cambria" w:cs="Times New Roman"/>
          <w:sz w:val="20"/>
          <w:szCs w:val="20"/>
        </w:rPr>
        <w:footnoteRef/>
      </w:r>
      <w:r w:rsidRPr="00D9246F">
        <w:rPr>
          <w:rFonts w:ascii="Cambria" w:hAnsi="Cambria" w:cs="Times New Roman"/>
          <w:sz w:val="20"/>
          <w:szCs w:val="20"/>
          <w:lang w:val="en-GB"/>
        </w:rPr>
        <w:t xml:space="preserve"> </w:t>
      </w:r>
      <w:bookmarkStart w:id="0" w:name="_Hlk157622308"/>
      <w:r w:rsidRPr="00D9246F">
        <w:rPr>
          <w:rFonts w:ascii="Cambria" w:hAnsi="Cambria" w:cs="Times New Roman"/>
          <w:sz w:val="20"/>
          <w:szCs w:val="20"/>
          <w:lang w:val="en-GB"/>
        </w:rPr>
        <w:t xml:space="preserve">Judgment of the </w:t>
      </w:r>
      <w:r w:rsidRPr="00D9246F">
        <w:rPr>
          <w:rStyle w:val="Uwydatnienie"/>
          <w:rFonts w:ascii="Cambria" w:hAnsi="Cambria" w:cs="Times New Roman"/>
          <w:i w:val="0"/>
          <w:iCs w:val="0"/>
          <w:sz w:val="20"/>
          <w:szCs w:val="20"/>
          <w:lang w:val="en-GB"/>
        </w:rPr>
        <w:t>Court</w:t>
      </w:r>
      <w:r w:rsidRPr="00D9246F">
        <w:rPr>
          <w:rFonts w:ascii="Cambria" w:hAnsi="Cambria" w:cs="Times New Roman"/>
          <w:sz w:val="20"/>
          <w:szCs w:val="20"/>
          <w:lang w:val="en-GB"/>
        </w:rPr>
        <w:t xml:space="preserve"> (Grand Chamber) of </w:t>
      </w:r>
      <w:r w:rsidRPr="00D9246F">
        <w:rPr>
          <w:rStyle w:val="Uwydatnienie"/>
          <w:rFonts w:ascii="Cambria" w:hAnsi="Cambria" w:cs="Times New Roman"/>
          <w:i w:val="0"/>
          <w:iCs w:val="0"/>
          <w:sz w:val="20"/>
          <w:szCs w:val="20"/>
          <w:lang w:val="en-GB"/>
        </w:rPr>
        <w:t>19 November 2019</w:t>
      </w:r>
      <w:r w:rsidRPr="00D9246F">
        <w:rPr>
          <w:rFonts w:ascii="Cambria" w:hAnsi="Cambria" w:cs="Times New Roman"/>
          <w:sz w:val="20"/>
          <w:szCs w:val="20"/>
          <w:lang w:val="en-GB"/>
        </w:rPr>
        <w:t xml:space="preserve">. </w:t>
      </w:r>
      <w:r w:rsidRPr="00D9246F">
        <w:rPr>
          <w:rStyle w:val="Uwydatnienie"/>
          <w:rFonts w:ascii="Cambria" w:hAnsi="Cambria" w:cs="Times New Roman"/>
          <w:i w:val="0"/>
          <w:iCs w:val="0"/>
          <w:sz w:val="20"/>
          <w:szCs w:val="20"/>
        </w:rPr>
        <w:t>A. K.</w:t>
      </w:r>
      <w:r w:rsidRPr="00D9246F">
        <w:rPr>
          <w:rFonts w:ascii="Cambria" w:hAnsi="Cambria" w:cs="Times New Roman"/>
          <w:sz w:val="20"/>
          <w:szCs w:val="20"/>
        </w:rPr>
        <w:t xml:space="preserve"> and Others v Sąd Najwyższy, C</w:t>
      </w:r>
      <w:r w:rsidR="0004174C" w:rsidRPr="00D9246F">
        <w:rPr>
          <w:rFonts w:ascii="Cambria" w:hAnsi="Cambria" w:cs="Times New Roman"/>
          <w:sz w:val="20"/>
          <w:szCs w:val="20"/>
        </w:rPr>
        <w:t>.</w:t>
      </w:r>
      <w:r w:rsidRPr="00D9246F">
        <w:rPr>
          <w:rFonts w:ascii="Cambria" w:hAnsi="Cambria" w:cs="Times New Roman"/>
          <w:sz w:val="20"/>
          <w:szCs w:val="20"/>
        </w:rPr>
        <w:t>P</w:t>
      </w:r>
      <w:r w:rsidR="0004174C" w:rsidRPr="00D9246F">
        <w:rPr>
          <w:rFonts w:ascii="Cambria" w:hAnsi="Cambria" w:cs="Times New Roman"/>
          <w:sz w:val="20"/>
          <w:szCs w:val="20"/>
        </w:rPr>
        <w:t>.</w:t>
      </w:r>
      <w:r w:rsidRPr="00D9246F">
        <w:rPr>
          <w:rFonts w:ascii="Cambria" w:hAnsi="Cambria" w:cs="Times New Roman"/>
          <w:sz w:val="20"/>
          <w:szCs w:val="20"/>
        </w:rPr>
        <w:t xml:space="preserve"> v Sąd Najwyższy and D</w:t>
      </w:r>
      <w:r w:rsidR="0004174C" w:rsidRPr="00D9246F">
        <w:rPr>
          <w:rFonts w:ascii="Cambria" w:hAnsi="Cambria" w:cs="Times New Roman"/>
          <w:sz w:val="20"/>
          <w:szCs w:val="20"/>
        </w:rPr>
        <w:t>.</w:t>
      </w:r>
      <w:r w:rsidRPr="00D9246F">
        <w:rPr>
          <w:rFonts w:ascii="Cambria" w:hAnsi="Cambria" w:cs="Times New Roman"/>
          <w:sz w:val="20"/>
          <w:szCs w:val="20"/>
        </w:rPr>
        <w:t>O</w:t>
      </w:r>
      <w:r w:rsidR="0004174C" w:rsidRPr="00D9246F">
        <w:rPr>
          <w:rFonts w:ascii="Cambria" w:hAnsi="Cambria" w:cs="Times New Roman"/>
          <w:sz w:val="20"/>
          <w:szCs w:val="20"/>
        </w:rPr>
        <w:t>.</w:t>
      </w:r>
      <w:r w:rsidRPr="00D9246F">
        <w:rPr>
          <w:rFonts w:ascii="Cambria" w:hAnsi="Cambria" w:cs="Times New Roman"/>
          <w:sz w:val="20"/>
          <w:szCs w:val="20"/>
        </w:rPr>
        <w:t xml:space="preserve"> v Sąd Najwyższy, C</w:t>
      </w:r>
      <w:r w:rsidRPr="00D9246F">
        <w:rPr>
          <w:rFonts w:ascii="Cambria" w:hAnsi="Cambria" w:cs="Times New Roman"/>
          <w:sz w:val="20"/>
          <w:szCs w:val="20"/>
        </w:rPr>
        <w:noBreakHyphen/>
        <w:t>585/18, C</w:t>
      </w:r>
      <w:r w:rsidRPr="00D9246F">
        <w:rPr>
          <w:rFonts w:ascii="Cambria" w:hAnsi="Cambria" w:cs="Times New Roman"/>
          <w:sz w:val="20"/>
          <w:szCs w:val="20"/>
        </w:rPr>
        <w:noBreakHyphen/>
        <w:t>624/18 i C</w:t>
      </w:r>
      <w:r w:rsidRPr="00D9246F">
        <w:rPr>
          <w:rFonts w:ascii="Cambria" w:hAnsi="Cambria" w:cs="Times New Roman"/>
          <w:sz w:val="20"/>
          <w:szCs w:val="20"/>
        </w:rPr>
        <w:noBreakHyphen/>
        <w:t xml:space="preserve">625/18, </w:t>
      </w:r>
      <w:r w:rsidRPr="00D9246F">
        <w:rPr>
          <w:rStyle w:val="outputecliaff"/>
          <w:rFonts w:ascii="Cambria" w:hAnsi="Cambria" w:cs="Times New Roman"/>
          <w:sz w:val="20"/>
          <w:szCs w:val="20"/>
        </w:rPr>
        <w:t>ECLI:EUC:2019:982, paragraph</w:t>
      </w:r>
      <w:bookmarkEnd w:id="0"/>
      <w:r w:rsidR="008253C5" w:rsidRPr="00D9246F">
        <w:rPr>
          <w:rStyle w:val="outputecliaff"/>
          <w:rFonts w:ascii="Cambria" w:hAnsi="Cambria" w:cs="Times New Roman"/>
          <w:sz w:val="20"/>
          <w:szCs w:val="20"/>
        </w:rPr>
        <w:t> </w:t>
      </w:r>
      <w:r w:rsidR="0004174C" w:rsidRPr="00D9246F">
        <w:rPr>
          <w:rFonts w:ascii="Cambria" w:hAnsi="Cambria" w:cs="Times New Roman"/>
          <w:sz w:val="20"/>
          <w:szCs w:val="20"/>
        </w:rPr>
        <w:t>118</w:t>
      </w:r>
      <w:r w:rsidR="008253C5" w:rsidRPr="00D9246F">
        <w:rPr>
          <w:rFonts w:ascii="Cambria" w:hAnsi="Cambria" w:cs="Times New Roman"/>
          <w:sz w:val="20"/>
          <w:szCs w:val="20"/>
        </w:rPr>
        <w:t>-</w:t>
      </w:r>
      <w:r w:rsidR="0004174C" w:rsidRPr="00D9246F">
        <w:rPr>
          <w:rFonts w:ascii="Cambria" w:hAnsi="Cambria" w:cs="Times New Roman"/>
          <w:sz w:val="20"/>
          <w:szCs w:val="20"/>
        </w:rPr>
        <w:t>123</w:t>
      </w:r>
    </w:p>
  </w:footnote>
  <w:footnote w:id="5">
    <w:p w14:paraId="296C7EAC" w14:textId="433A3EFD" w:rsidR="0004174C" w:rsidRPr="00D9246F" w:rsidRDefault="0004174C" w:rsidP="008253C5">
      <w:pPr>
        <w:pStyle w:val="Tekstprzypisudolnego"/>
        <w:jc w:val="both"/>
        <w:rPr>
          <w:rFonts w:ascii="Cambria" w:hAnsi="Cambria" w:cs="Times New Roman"/>
          <w:lang w:val="en-GB"/>
        </w:rPr>
      </w:pPr>
      <w:r w:rsidRPr="00D9246F">
        <w:rPr>
          <w:rStyle w:val="Odwoanieprzypisudolnego"/>
          <w:rFonts w:ascii="Cambria" w:hAnsi="Cambria" w:cs="Times New Roman"/>
        </w:rPr>
        <w:footnoteRef/>
      </w:r>
      <w:r w:rsidRPr="00D9246F">
        <w:rPr>
          <w:rFonts w:ascii="Cambria" w:hAnsi="Cambria" w:cs="Times New Roman"/>
          <w:lang w:val="en-GB"/>
        </w:rPr>
        <w:t xml:space="preserve"> Ibid. </w:t>
      </w:r>
      <w:r w:rsidR="00FF28F2" w:rsidRPr="00D9246F">
        <w:rPr>
          <w:rFonts w:ascii="Cambria" w:hAnsi="Cambria" w:cs="Times New Roman"/>
          <w:lang w:val="en-GB"/>
        </w:rPr>
        <w:t xml:space="preserve">paragraph </w:t>
      </w:r>
      <w:r w:rsidRPr="00D9246F">
        <w:rPr>
          <w:rFonts w:ascii="Cambria" w:hAnsi="Cambria" w:cs="Times New Roman"/>
          <w:lang w:val="en-GB"/>
        </w:rPr>
        <w:t>140-142</w:t>
      </w:r>
    </w:p>
  </w:footnote>
  <w:footnote w:id="6">
    <w:p w14:paraId="7C3A9C06" w14:textId="42F29F4F" w:rsidR="00FF28F2" w:rsidRPr="00D9246F" w:rsidRDefault="00FF28F2" w:rsidP="008253C5">
      <w:pPr>
        <w:pStyle w:val="Tekstprzypisudolnego"/>
        <w:jc w:val="both"/>
        <w:rPr>
          <w:rFonts w:ascii="Cambria" w:hAnsi="Cambria" w:cs="Times New Roman"/>
          <w:lang w:val="en-GB"/>
        </w:rPr>
      </w:pPr>
      <w:r w:rsidRPr="00D9246F">
        <w:rPr>
          <w:rStyle w:val="Odwoanieprzypisudolnego"/>
          <w:rFonts w:ascii="Cambria" w:hAnsi="Cambria" w:cs="Times New Roman"/>
        </w:rPr>
        <w:footnoteRef/>
      </w:r>
      <w:r w:rsidRPr="00D9246F">
        <w:rPr>
          <w:rFonts w:ascii="Cambria" w:hAnsi="Cambria" w:cs="Times New Roman"/>
          <w:lang w:val="en-GB"/>
        </w:rPr>
        <w:t xml:space="preserve"> Ibid. paragraph 121-123 </w:t>
      </w:r>
    </w:p>
  </w:footnote>
  <w:footnote w:id="7">
    <w:p w14:paraId="17A80CE9" w14:textId="0D4F475D" w:rsidR="00FF28F2" w:rsidRPr="00D9246F" w:rsidRDefault="00FF28F2" w:rsidP="008253C5">
      <w:pPr>
        <w:pStyle w:val="Tekstprzypisudolnego"/>
        <w:jc w:val="both"/>
        <w:rPr>
          <w:rFonts w:ascii="Cambria" w:hAnsi="Cambria" w:cs="Times New Roman"/>
          <w:lang w:val="en-GB"/>
        </w:rPr>
      </w:pPr>
      <w:r w:rsidRPr="00D9246F">
        <w:rPr>
          <w:rStyle w:val="Odwoanieprzypisudolnego"/>
          <w:rFonts w:ascii="Cambria" w:hAnsi="Cambria" w:cs="Times New Roman"/>
        </w:rPr>
        <w:footnoteRef/>
      </w:r>
      <w:r w:rsidRPr="00D9246F">
        <w:rPr>
          <w:rFonts w:ascii="Cambria" w:hAnsi="Cambria" w:cs="Times New Roman"/>
          <w:lang w:val="en-GB"/>
        </w:rPr>
        <w:t xml:space="preserve"> Ibid. paragraph 129</w:t>
      </w:r>
    </w:p>
  </w:footnote>
  <w:footnote w:id="8">
    <w:p w14:paraId="52A81D78" w14:textId="68BDF29B" w:rsidR="00FF28F2" w:rsidRPr="00D9246F" w:rsidRDefault="00FF28F2" w:rsidP="008253C5">
      <w:pPr>
        <w:pStyle w:val="Tekstprzypisudolnego"/>
        <w:jc w:val="both"/>
        <w:rPr>
          <w:rFonts w:ascii="Cambria" w:hAnsi="Cambria" w:cs="Times New Roman"/>
          <w:lang w:val="en-GB"/>
        </w:rPr>
      </w:pPr>
      <w:r w:rsidRPr="00D9246F">
        <w:rPr>
          <w:rStyle w:val="Odwoanieprzypisudolnego"/>
          <w:rFonts w:ascii="Cambria" w:hAnsi="Cambria" w:cs="Times New Roman"/>
        </w:rPr>
        <w:footnoteRef/>
      </w:r>
      <w:r w:rsidRPr="00D9246F">
        <w:rPr>
          <w:rFonts w:ascii="Cambria" w:hAnsi="Cambria" w:cs="Times New Roman"/>
          <w:lang w:val="en-GB"/>
        </w:rPr>
        <w:t xml:space="preserve"> Ibid. paragraph 133</w:t>
      </w:r>
    </w:p>
  </w:footnote>
  <w:footnote w:id="9">
    <w:p w14:paraId="394C046C" w14:textId="1840E6B8" w:rsidR="008253C5" w:rsidRPr="00D9246F" w:rsidRDefault="008253C5" w:rsidP="008253C5">
      <w:pPr>
        <w:pStyle w:val="Tekstprzypisudolnego"/>
        <w:jc w:val="both"/>
        <w:rPr>
          <w:rFonts w:ascii="Cambria" w:hAnsi="Cambria"/>
          <w:lang w:val="en-GB"/>
        </w:rPr>
      </w:pPr>
      <w:r w:rsidRPr="00D9246F">
        <w:rPr>
          <w:rStyle w:val="Odwoanieprzypisudolnego"/>
          <w:rFonts w:ascii="Cambria" w:hAnsi="Cambria" w:cs="Times New Roman"/>
        </w:rPr>
        <w:footnoteRef/>
      </w:r>
      <w:r w:rsidRPr="00D9246F">
        <w:rPr>
          <w:rFonts w:ascii="Cambria" w:hAnsi="Cambria" w:cs="Times New Roman"/>
          <w:lang w:val="en-GB"/>
        </w:rPr>
        <w:t xml:space="preserve"> Ibid. paragraph 143</w:t>
      </w:r>
    </w:p>
  </w:footnote>
  <w:footnote w:id="10">
    <w:p w14:paraId="5613C6A1" w14:textId="133634FB" w:rsidR="00CA0668" w:rsidRPr="00D9246F" w:rsidRDefault="00CA0668">
      <w:pPr>
        <w:pStyle w:val="Tekstprzypisudolnego"/>
        <w:rPr>
          <w:rFonts w:ascii="Cambria" w:hAnsi="Cambria" w:cs="Times New Roman"/>
          <w:lang w:val="en-GB"/>
        </w:rPr>
      </w:pPr>
      <w:r w:rsidRPr="00D9246F">
        <w:rPr>
          <w:rStyle w:val="Odwoanieprzypisudolnego"/>
          <w:rFonts w:ascii="Cambria" w:hAnsi="Cambria" w:cs="Times New Roman"/>
        </w:rPr>
        <w:footnoteRef/>
      </w:r>
      <w:r w:rsidRPr="00D9246F">
        <w:rPr>
          <w:rFonts w:ascii="Cambria" w:hAnsi="Cambria" w:cs="Times New Roman"/>
          <w:lang w:val="en-GB"/>
        </w:rPr>
        <w:t xml:space="preserve"> Judgment of the Supreme Court of December 5, 2019, ref. III PO 7/18</w:t>
      </w:r>
    </w:p>
  </w:footnote>
  <w:footnote w:id="11">
    <w:p w14:paraId="0553E8BE" w14:textId="0B2779C8" w:rsidR="00CA0668" w:rsidRPr="00D9246F" w:rsidRDefault="00CA0668" w:rsidP="00ED450D">
      <w:pPr>
        <w:pStyle w:val="Tekstprzypisudolnego"/>
        <w:jc w:val="both"/>
        <w:rPr>
          <w:rFonts w:ascii="Cambria" w:hAnsi="Cambria" w:cs="Times New Roman"/>
          <w:lang w:val="en-GB"/>
        </w:rPr>
      </w:pPr>
      <w:r w:rsidRPr="00D9246F">
        <w:rPr>
          <w:rStyle w:val="Odwoanieprzypisudolnego"/>
          <w:rFonts w:ascii="Cambria" w:hAnsi="Cambria" w:cs="Times New Roman"/>
        </w:rPr>
        <w:footnoteRef/>
      </w:r>
      <w:r w:rsidRPr="00D9246F">
        <w:rPr>
          <w:rFonts w:ascii="Cambria" w:hAnsi="Cambria" w:cs="Times New Roman"/>
          <w:lang w:val="en-GB"/>
        </w:rPr>
        <w:t xml:space="preserve"> Resolution of the Extraordinary Control and Public Affairs Chamber of December 8, 2019, ref. I NOZP 3/19</w:t>
      </w:r>
    </w:p>
  </w:footnote>
  <w:footnote w:id="12">
    <w:p w14:paraId="67C935CF" w14:textId="286B627E" w:rsidR="005A609C" w:rsidRPr="00D9246F" w:rsidRDefault="005A609C" w:rsidP="00ED450D">
      <w:pPr>
        <w:pStyle w:val="Tekstprzypisudolnego"/>
        <w:jc w:val="both"/>
        <w:rPr>
          <w:rFonts w:ascii="Cambria" w:hAnsi="Cambria" w:cs="Times New Roman"/>
          <w:lang w:val="en-GB"/>
        </w:rPr>
      </w:pPr>
      <w:r w:rsidRPr="00D9246F">
        <w:rPr>
          <w:rStyle w:val="Odwoanieprzypisudolnego"/>
          <w:rFonts w:ascii="Cambria" w:hAnsi="Cambria" w:cs="Times New Roman"/>
        </w:rPr>
        <w:footnoteRef/>
      </w:r>
      <w:r w:rsidRPr="00D9246F">
        <w:rPr>
          <w:rFonts w:ascii="Cambria" w:hAnsi="Cambria" w:cs="Times New Roman"/>
          <w:lang w:val="en-GB"/>
        </w:rPr>
        <w:t xml:space="preserve"> Resolution of the combined Chambers: Civil, Criminal and Labo</w:t>
      </w:r>
      <w:r w:rsidR="003D0CBC" w:rsidRPr="00D9246F">
        <w:rPr>
          <w:rFonts w:ascii="Cambria" w:hAnsi="Cambria" w:cs="Times New Roman"/>
          <w:lang w:val="en-GB"/>
        </w:rPr>
        <w:t>u</w:t>
      </w:r>
      <w:r w:rsidRPr="00D9246F">
        <w:rPr>
          <w:rFonts w:ascii="Cambria" w:hAnsi="Cambria" w:cs="Times New Roman"/>
          <w:lang w:val="en-GB"/>
        </w:rPr>
        <w:t>r and Social Insurance of the Supreme Court of January 23, 2020, ref. BSA I-4110-1/20</w:t>
      </w:r>
    </w:p>
  </w:footnote>
  <w:footnote w:id="13">
    <w:p w14:paraId="31F34BBC" w14:textId="14DA0B81" w:rsidR="00640D23" w:rsidRPr="00D9246F" w:rsidRDefault="00640D23" w:rsidP="00ED450D">
      <w:pPr>
        <w:pStyle w:val="Tekstprzypisudolnego"/>
        <w:jc w:val="both"/>
        <w:rPr>
          <w:rFonts w:ascii="Cambria" w:hAnsi="Cambria" w:cs="Times New Roman"/>
          <w:lang w:val="en-GB"/>
        </w:rPr>
      </w:pPr>
      <w:r w:rsidRPr="00D9246F">
        <w:rPr>
          <w:rStyle w:val="Odwoanieprzypisudolnego"/>
          <w:rFonts w:ascii="Cambria" w:hAnsi="Cambria" w:cs="Times New Roman"/>
        </w:rPr>
        <w:footnoteRef/>
      </w:r>
      <w:r w:rsidRPr="00D9246F">
        <w:rPr>
          <w:rFonts w:ascii="Cambria" w:hAnsi="Cambria" w:cs="Times New Roman"/>
          <w:lang w:val="en-GB"/>
        </w:rPr>
        <w:t xml:space="preserve"> Act of December 20, 2019 on amending the Act - Law on the system of common courts, the Act on the Supreme Court and selected other acts, Journal of Laws. 2020 item 190</w:t>
      </w:r>
    </w:p>
  </w:footnote>
  <w:footnote w:id="14">
    <w:p w14:paraId="28DCF513" w14:textId="5D2DCCB1" w:rsidR="008C186A" w:rsidRPr="00D9246F" w:rsidRDefault="008C186A" w:rsidP="00ED450D">
      <w:pPr>
        <w:pStyle w:val="Tekstprzypisudolnego"/>
        <w:jc w:val="both"/>
        <w:rPr>
          <w:rFonts w:ascii="Cambria" w:hAnsi="Cambria" w:cs="Times New Roman"/>
          <w:lang w:val="en-GB"/>
        </w:rPr>
      </w:pPr>
      <w:r w:rsidRPr="00D9246F">
        <w:rPr>
          <w:rStyle w:val="Odwoanieprzypisudolnego"/>
          <w:rFonts w:ascii="Cambria" w:hAnsi="Cambria" w:cs="Times New Roman"/>
        </w:rPr>
        <w:footnoteRef/>
      </w:r>
      <w:r w:rsidRPr="00D9246F">
        <w:rPr>
          <w:rFonts w:ascii="Cambria" w:hAnsi="Cambria" w:cs="Times New Roman"/>
          <w:lang w:val="en-GB"/>
        </w:rPr>
        <w:t xml:space="preserve"> Print No. 219 Government draft law on amending the law on the National Council of the Judiciary.</w:t>
      </w:r>
    </w:p>
  </w:footnote>
  <w:footnote w:id="15">
    <w:p w14:paraId="23BE8FE2" w14:textId="77777777" w:rsidR="008C186A" w:rsidRPr="00D9246F" w:rsidRDefault="008C186A" w:rsidP="00ED450D">
      <w:pPr>
        <w:pStyle w:val="Tekstprzypisudolnego"/>
        <w:jc w:val="both"/>
        <w:rPr>
          <w:rFonts w:ascii="Cambria" w:hAnsi="Cambria"/>
          <w:lang w:val="en-GB"/>
        </w:rPr>
      </w:pPr>
      <w:r w:rsidRPr="00D9246F">
        <w:rPr>
          <w:rStyle w:val="Odwoanieprzypisudolnego"/>
          <w:rFonts w:ascii="Cambria" w:hAnsi="Cambria" w:cs="Times New Roman"/>
        </w:rPr>
        <w:footnoteRef/>
      </w:r>
      <w:r w:rsidRPr="00D9246F">
        <w:rPr>
          <w:rFonts w:ascii="Cambria" w:hAnsi="Cambria" w:cs="Times New Roman"/>
          <w:lang w:val="en-GB"/>
        </w:rPr>
        <w:t>Draft of January 11, 2024 Act of &lt;date of issuance of act&gt; on amending the Act on the National Council of the Judiciary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A4E26"/>
    <w:multiLevelType w:val="hybridMultilevel"/>
    <w:tmpl w:val="8398E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08165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CC"/>
    <w:rsid w:val="00035FF6"/>
    <w:rsid w:val="0004174C"/>
    <w:rsid w:val="000A4309"/>
    <w:rsid w:val="00116C0F"/>
    <w:rsid w:val="00165809"/>
    <w:rsid w:val="00165C37"/>
    <w:rsid w:val="001C2214"/>
    <w:rsid w:val="002D7C3B"/>
    <w:rsid w:val="00351074"/>
    <w:rsid w:val="003518B1"/>
    <w:rsid w:val="003708C1"/>
    <w:rsid w:val="003A584F"/>
    <w:rsid w:val="003D0CBC"/>
    <w:rsid w:val="00505CC1"/>
    <w:rsid w:val="005A609C"/>
    <w:rsid w:val="00612022"/>
    <w:rsid w:val="00636100"/>
    <w:rsid w:val="00640D23"/>
    <w:rsid w:val="006800A3"/>
    <w:rsid w:val="007458E6"/>
    <w:rsid w:val="008126CC"/>
    <w:rsid w:val="008253C5"/>
    <w:rsid w:val="00890F39"/>
    <w:rsid w:val="008A6D83"/>
    <w:rsid w:val="008B5AFE"/>
    <w:rsid w:val="008C186A"/>
    <w:rsid w:val="008C52E6"/>
    <w:rsid w:val="008F56AE"/>
    <w:rsid w:val="00A662E1"/>
    <w:rsid w:val="00B933D6"/>
    <w:rsid w:val="00BE7F0E"/>
    <w:rsid w:val="00C22F28"/>
    <w:rsid w:val="00C506FB"/>
    <w:rsid w:val="00CA0668"/>
    <w:rsid w:val="00CB0A1F"/>
    <w:rsid w:val="00D02449"/>
    <w:rsid w:val="00D33D98"/>
    <w:rsid w:val="00D9246F"/>
    <w:rsid w:val="00E7051F"/>
    <w:rsid w:val="00ED450D"/>
    <w:rsid w:val="00F33E46"/>
    <w:rsid w:val="00FF2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A8AC"/>
  <w15:chartTrackingRefBased/>
  <w15:docId w15:val="{F6815181-7E57-4871-8A82-DD893D65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33D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33D98"/>
    <w:rPr>
      <w:sz w:val="20"/>
      <w:szCs w:val="20"/>
    </w:rPr>
  </w:style>
  <w:style w:type="character" w:styleId="Odwoanieprzypisudolnego">
    <w:name w:val="footnote reference"/>
    <w:basedOn w:val="Domylnaczcionkaakapitu"/>
    <w:uiPriority w:val="99"/>
    <w:semiHidden/>
    <w:unhideWhenUsed/>
    <w:rsid w:val="00D33D98"/>
    <w:rPr>
      <w:vertAlign w:val="superscript"/>
    </w:rPr>
  </w:style>
  <w:style w:type="character" w:customStyle="1" w:styleId="outputecliaff">
    <w:name w:val="outputecliaff"/>
    <w:basedOn w:val="Domylnaczcionkaakapitu"/>
    <w:rsid w:val="00636100"/>
  </w:style>
  <w:style w:type="character" w:styleId="Uwydatnienie">
    <w:name w:val="Emphasis"/>
    <w:basedOn w:val="Domylnaczcionkaakapitu"/>
    <w:uiPriority w:val="20"/>
    <w:qFormat/>
    <w:rsid w:val="00636100"/>
    <w:rPr>
      <w:i/>
      <w:iCs/>
    </w:rPr>
  </w:style>
  <w:style w:type="paragraph" w:styleId="Akapitzlist">
    <w:name w:val="List Paragraph"/>
    <w:basedOn w:val="Normalny"/>
    <w:uiPriority w:val="34"/>
    <w:qFormat/>
    <w:rsid w:val="003A584F"/>
    <w:pPr>
      <w:spacing w:line="25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1765</Words>
  <Characters>8935</Characters>
  <Application>Microsoft Office Word</Application>
  <DocSecurity>0</DocSecurity>
  <Lines>120</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dabrowska</dc:creator>
  <cp:keywords/>
  <dc:description/>
  <cp:lastModifiedBy>Florczak-Wątor Monika</cp:lastModifiedBy>
  <cp:revision>4</cp:revision>
  <dcterms:created xsi:type="dcterms:W3CDTF">2024-03-14T18:21:00Z</dcterms:created>
  <dcterms:modified xsi:type="dcterms:W3CDTF">2024-03-17T15:18:00Z</dcterms:modified>
</cp:coreProperties>
</file>