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6B743" w14:textId="4E8EBDDA" w:rsidR="008A00CA" w:rsidRPr="00181BE3" w:rsidRDefault="008A00CA" w:rsidP="00394384">
      <w:pPr>
        <w:pStyle w:val="Nagwek1"/>
        <w:rPr>
          <w:rFonts w:ascii="Cambria" w:hAnsi="Cambria"/>
          <w:sz w:val="28"/>
          <w:szCs w:val="28"/>
          <w:lang w:val="en-GB"/>
        </w:rPr>
      </w:pPr>
      <w:r w:rsidRPr="00181BE3">
        <w:rPr>
          <w:rFonts w:ascii="Cambria" w:hAnsi="Cambria"/>
          <w:sz w:val="28"/>
          <w:szCs w:val="28"/>
          <w:lang w:val="en-GB"/>
        </w:rPr>
        <w:t xml:space="preserve">Partial unconstitutionality of European </w:t>
      </w:r>
      <w:r w:rsidR="003D6718" w:rsidRPr="00181BE3">
        <w:rPr>
          <w:rFonts w:ascii="Cambria" w:hAnsi="Cambria"/>
          <w:sz w:val="28"/>
          <w:szCs w:val="28"/>
          <w:lang w:val="en-GB"/>
        </w:rPr>
        <w:t>l</w:t>
      </w:r>
      <w:r w:rsidRPr="00181BE3">
        <w:rPr>
          <w:rFonts w:ascii="Cambria" w:hAnsi="Cambria"/>
          <w:sz w:val="28"/>
          <w:szCs w:val="28"/>
          <w:lang w:val="en-GB"/>
        </w:rPr>
        <w:t>aw regulations: judgments of the Polish Constitutional Tribunal in cases P 7/20, K 3/21, K 6/21, and K 7/21</w:t>
      </w:r>
    </w:p>
    <w:p w14:paraId="00018561" w14:textId="78F0D14F" w:rsidR="008A00CA" w:rsidRPr="00181BE3" w:rsidRDefault="008A00CA" w:rsidP="009233BC">
      <w:pPr>
        <w:spacing w:after="240"/>
        <w:rPr>
          <w:rFonts w:ascii="Cambria" w:hAnsi="Cambria"/>
          <w:sz w:val="24"/>
          <w:szCs w:val="24"/>
          <w:lang w:val="en-GB"/>
        </w:rPr>
      </w:pPr>
      <w:r w:rsidRPr="00181BE3">
        <w:rPr>
          <w:rFonts w:ascii="Cambria" w:hAnsi="Cambria"/>
          <w:sz w:val="24"/>
          <w:szCs w:val="24"/>
          <w:lang w:val="en-GB"/>
        </w:rPr>
        <w:t>Maciej Czop, Jagiellonian University</w:t>
      </w:r>
    </w:p>
    <w:p w14:paraId="54B61B88" w14:textId="6D057B53" w:rsidR="005954E7" w:rsidRPr="00181BE3" w:rsidRDefault="008A00CA" w:rsidP="006F2285">
      <w:pPr>
        <w:rPr>
          <w:rFonts w:ascii="Cambria" w:hAnsi="Cambria"/>
          <w:sz w:val="24"/>
          <w:szCs w:val="24"/>
          <w:lang w:val="en-GB"/>
        </w:rPr>
      </w:pPr>
      <w:r w:rsidRPr="00181BE3">
        <w:rPr>
          <w:rFonts w:ascii="Cambria" w:hAnsi="Cambria"/>
          <w:b/>
          <w:bCs/>
          <w:sz w:val="24"/>
          <w:szCs w:val="24"/>
          <w:lang w:val="en-GB"/>
        </w:rPr>
        <w:t>Abstract</w:t>
      </w:r>
      <w:r w:rsidRPr="00181BE3">
        <w:rPr>
          <w:rFonts w:ascii="Cambria" w:hAnsi="Cambria"/>
          <w:sz w:val="24"/>
          <w:szCs w:val="24"/>
          <w:lang w:val="en-GB"/>
        </w:rPr>
        <w:t>:</w:t>
      </w:r>
      <w:r w:rsidR="005954E7" w:rsidRPr="00181BE3">
        <w:rPr>
          <w:rFonts w:ascii="Cambria" w:hAnsi="Cambria"/>
          <w:sz w:val="24"/>
          <w:szCs w:val="24"/>
          <w:lang w:val="en-GB"/>
        </w:rPr>
        <w:t xml:space="preserve"> This paper attempts to analyse four controversial rulings of the Polish Constitutional Tribunal, which partially invalidated provisions of European legal acts (refs. P 7/20, K 3/21, K 6/21 and K 7/21). The author explains the context </w:t>
      </w:r>
      <w:r w:rsidR="00436D4A" w:rsidRPr="00181BE3">
        <w:rPr>
          <w:rFonts w:ascii="Cambria" w:hAnsi="Cambria"/>
          <w:sz w:val="24"/>
          <w:szCs w:val="24"/>
          <w:lang w:val="en-GB"/>
        </w:rPr>
        <w:t xml:space="preserve">behind the issuance of such rulings, the arguments raised during the proceedings </w:t>
      </w:r>
      <w:r w:rsidR="00D44CA7" w:rsidRPr="00181BE3">
        <w:rPr>
          <w:rFonts w:ascii="Cambria" w:hAnsi="Cambria"/>
          <w:sz w:val="24"/>
          <w:szCs w:val="24"/>
          <w:lang w:val="en-GB"/>
        </w:rPr>
        <w:t xml:space="preserve">and the final text of the sentences. Finally, the author examines the implications and practical effects of the rulings on the jurisprudence of Polish courts. Through the thorough </w:t>
      </w:r>
      <w:r w:rsidR="00E0603E" w:rsidRPr="00181BE3">
        <w:rPr>
          <w:rFonts w:ascii="Cambria" w:hAnsi="Cambria"/>
          <w:sz w:val="24"/>
          <w:szCs w:val="24"/>
          <w:lang w:val="en-GB"/>
        </w:rPr>
        <w:t>study</w:t>
      </w:r>
      <w:r w:rsidR="00D44CA7" w:rsidRPr="00181BE3">
        <w:rPr>
          <w:rFonts w:ascii="Cambria" w:hAnsi="Cambria"/>
          <w:sz w:val="24"/>
          <w:szCs w:val="24"/>
          <w:lang w:val="en-GB"/>
        </w:rPr>
        <w:t xml:space="preserve"> of the Tribunal’s judgments, the reader can acquire a comprehensive knowledge of the </w:t>
      </w:r>
      <w:r w:rsidR="00394389" w:rsidRPr="00181BE3">
        <w:rPr>
          <w:rFonts w:ascii="Cambria" w:hAnsi="Cambria"/>
          <w:sz w:val="24"/>
          <w:szCs w:val="24"/>
          <w:lang w:val="en-GB"/>
        </w:rPr>
        <w:t xml:space="preserve">relationship </w:t>
      </w:r>
      <w:r w:rsidR="00D44CA7" w:rsidRPr="00181BE3">
        <w:rPr>
          <w:rFonts w:ascii="Cambria" w:hAnsi="Cambria"/>
          <w:sz w:val="24"/>
          <w:szCs w:val="24"/>
          <w:lang w:val="en-GB"/>
        </w:rPr>
        <w:t xml:space="preserve">between Polish domestic law relating to the </w:t>
      </w:r>
      <w:r w:rsidR="00FF0AAC" w:rsidRPr="00181BE3">
        <w:rPr>
          <w:rFonts w:ascii="Cambria" w:hAnsi="Cambria"/>
          <w:sz w:val="24"/>
          <w:szCs w:val="24"/>
          <w:lang w:val="en-GB"/>
        </w:rPr>
        <w:t xml:space="preserve">system and </w:t>
      </w:r>
      <w:r w:rsidR="00D44CA7" w:rsidRPr="00181BE3">
        <w:rPr>
          <w:rFonts w:ascii="Cambria" w:hAnsi="Cambria"/>
          <w:sz w:val="24"/>
          <w:szCs w:val="24"/>
          <w:lang w:val="en-GB"/>
        </w:rPr>
        <w:t>organization of the judiciary</w:t>
      </w:r>
      <w:r w:rsidR="00FF0AAC" w:rsidRPr="00181BE3">
        <w:rPr>
          <w:rFonts w:ascii="Cambria" w:hAnsi="Cambria"/>
          <w:sz w:val="24"/>
          <w:szCs w:val="24"/>
          <w:lang w:val="en-GB"/>
        </w:rPr>
        <w:t xml:space="preserve"> and European law.</w:t>
      </w:r>
    </w:p>
    <w:p w14:paraId="60647298" w14:textId="75129E56" w:rsidR="008A00CA" w:rsidRPr="00181BE3" w:rsidRDefault="008A00CA" w:rsidP="000D29B2">
      <w:pPr>
        <w:spacing w:after="360"/>
        <w:rPr>
          <w:rFonts w:ascii="Cambria" w:hAnsi="Cambria"/>
          <w:sz w:val="24"/>
          <w:szCs w:val="24"/>
          <w:lang w:val="en-GB"/>
        </w:rPr>
      </w:pPr>
      <w:r w:rsidRPr="00181BE3">
        <w:rPr>
          <w:rFonts w:ascii="Cambria" w:hAnsi="Cambria"/>
          <w:b/>
          <w:bCs/>
          <w:sz w:val="24"/>
          <w:szCs w:val="24"/>
          <w:lang w:val="en-GB"/>
        </w:rPr>
        <w:t>Keywords</w:t>
      </w:r>
      <w:r w:rsidRPr="00181BE3">
        <w:rPr>
          <w:rFonts w:ascii="Cambria" w:hAnsi="Cambria"/>
          <w:sz w:val="24"/>
          <w:szCs w:val="24"/>
          <w:lang w:val="en-GB"/>
        </w:rPr>
        <w:t>:</w:t>
      </w:r>
      <w:r w:rsidR="000D29B2" w:rsidRPr="00181BE3">
        <w:rPr>
          <w:rFonts w:ascii="Cambria" w:hAnsi="Cambria"/>
          <w:sz w:val="24"/>
          <w:szCs w:val="24"/>
          <w:lang w:val="en-GB"/>
        </w:rPr>
        <w:t xml:space="preserve"> Constitutional Tribunal, </w:t>
      </w:r>
      <w:r w:rsidR="000D23A9" w:rsidRPr="00181BE3">
        <w:rPr>
          <w:rFonts w:ascii="Cambria" w:hAnsi="Cambria"/>
          <w:sz w:val="24"/>
          <w:szCs w:val="24"/>
          <w:lang w:val="en-GB"/>
        </w:rPr>
        <w:t>independence of the judiciary, constitutional judiciary</w:t>
      </w:r>
      <w:r w:rsidR="00321DBB" w:rsidRPr="00181BE3">
        <w:rPr>
          <w:rFonts w:ascii="Cambria" w:hAnsi="Cambria"/>
          <w:sz w:val="24"/>
          <w:szCs w:val="24"/>
          <w:lang w:val="en-GB"/>
        </w:rPr>
        <w:t xml:space="preserve">, </w:t>
      </w:r>
      <w:r w:rsidR="000D29B2" w:rsidRPr="00181BE3">
        <w:rPr>
          <w:rFonts w:ascii="Cambria" w:hAnsi="Cambria"/>
          <w:sz w:val="24"/>
          <w:szCs w:val="24"/>
          <w:lang w:val="en-GB"/>
        </w:rPr>
        <w:t xml:space="preserve">European law, </w:t>
      </w:r>
      <w:r w:rsidR="00443CE9" w:rsidRPr="00181BE3">
        <w:rPr>
          <w:rFonts w:ascii="Cambria" w:hAnsi="Cambria"/>
          <w:sz w:val="24"/>
          <w:szCs w:val="24"/>
          <w:lang w:val="en-GB"/>
        </w:rPr>
        <w:t xml:space="preserve">principle of </w:t>
      </w:r>
      <w:r w:rsidR="000D29B2" w:rsidRPr="00181BE3">
        <w:rPr>
          <w:rFonts w:ascii="Cambria" w:hAnsi="Cambria"/>
          <w:sz w:val="24"/>
          <w:szCs w:val="24"/>
          <w:lang w:val="en-GB"/>
        </w:rPr>
        <w:t xml:space="preserve">primacy, </w:t>
      </w:r>
      <w:r w:rsidR="0010284A" w:rsidRPr="00181BE3">
        <w:rPr>
          <w:rFonts w:ascii="Cambria" w:hAnsi="Cambria"/>
          <w:sz w:val="24"/>
          <w:szCs w:val="24"/>
          <w:lang w:val="en-GB"/>
        </w:rPr>
        <w:t xml:space="preserve">Court of Justice of the </w:t>
      </w:r>
      <w:r w:rsidR="00234625" w:rsidRPr="00181BE3">
        <w:rPr>
          <w:rFonts w:ascii="Cambria" w:hAnsi="Cambria"/>
          <w:sz w:val="24"/>
          <w:szCs w:val="24"/>
          <w:lang w:val="en-GB"/>
        </w:rPr>
        <w:t>European Union,</w:t>
      </w:r>
      <w:r w:rsidR="0010284A" w:rsidRPr="00181BE3">
        <w:rPr>
          <w:rFonts w:ascii="Cambria" w:hAnsi="Cambria"/>
          <w:sz w:val="24"/>
          <w:szCs w:val="24"/>
          <w:lang w:val="en-GB"/>
        </w:rPr>
        <w:t xml:space="preserve"> </w:t>
      </w:r>
      <w:r w:rsidR="000D29B2" w:rsidRPr="00181BE3">
        <w:rPr>
          <w:rFonts w:ascii="Cambria" w:hAnsi="Cambria"/>
          <w:sz w:val="24"/>
          <w:szCs w:val="24"/>
          <w:lang w:val="en-GB"/>
        </w:rPr>
        <w:t>European Court of Human Rights</w:t>
      </w:r>
    </w:p>
    <w:p w14:paraId="30E875A8" w14:textId="4E5F8732" w:rsidR="00394384" w:rsidRPr="00181BE3" w:rsidRDefault="00394384" w:rsidP="00394384">
      <w:pPr>
        <w:pStyle w:val="Nagwek2"/>
        <w:rPr>
          <w:rFonts w:ascii="Cambria" w:hAnsi="Cambria"/>
          <w:sz w:val="24"/>
          <w:szCs w:val="24"/>
        </w:rPr>
      </w:pPr>
      <w:r w:rsidRPr="00181BE3">
        <w:rPr>
          <w:rFonts w:ascii="Cambria" w:hAnsi="Cambria"/>
          <w:sz w:val="24"/>
          <w:szCs w:val="24"/>
        </w:rPr>
        <w:t>I. Introduction</w:t>
      </w:r>
    </w:p>
    <w:p w14:paraId="6A22EE97" w14:textId="11CA0D4F" w:rsidR="00CD4160" w:rsidRPr="00181BE3" w:rsidRDefault="004E4210" w:rsidP="00EB1482">
      <w:pPr>
        <w:pStyle w:val="NormalIndented"/>
        <w:rPr>
          <w:rFonts w:ascii="Cambria" w:hAnsi="Cambria"/>
          <w:sz w:val="24"/>
          <w:szCs w:val="24"/>
        </w:rPr>
      </w:pPr>
      <w:r w:rsidRPr="00181BE3">
        <w:rPr>
          <w:rFonts w:ascii="Cambria" w:hAnsi="Cambria"/>
          <w:sz w:val="24"/>
          <w:szCs w:val="24"/>
        </w:rPr>
        <w:t xml:space="preserve">The Constitutional Tribunal is a judicial institution established by Articles 188 to 197 of the Polish Constitution </w:t>
      </w:r>
      <w:r w:rsidR="006F2285" w:rsidRPr="00181BE3">
        <w:rPr>
          <w:rFonts w:ascii="Cambria" w:hAnsi="Cambria"/>
          <w:sz w:val="24"/>
          <w:szCs w:val="24"/>
        </w:rPr>
        <w:t>which is tasked with</w:t>
      </w:r>
      <w:r w:rsidRPr="00181BE3">
        <w:rPr>
          <w:rFonts w:ascii="Cambria" w:hAnsi="Cambria"/>
          <w:sz w:val="24"/>
          <w:szCs w:val="24"/>
        </w:rPr>
        <w:t>, among others,</w:t>
      </w:r>
      <w:r w:rsidR="006F2285" w:rsidRPr="00181BE3">
        <w:rPr>
          <w:rFonts w:ascii="Cambria" w:hAnsi="Cambria"/>
          <w:sz w:val="24"/>
          <w:szCs w:val="24"/>
        </w:rPr>
        <w:t xml:space="preserve"> adjudicating </w:t>
      </w:r>
      <w:r w:rsidRPr="00181BE3">
        <w:rPr>
          <w:rFonts w:ascii="Cambria" w:hAnsi="Cambria"/>
          <w:sz w:val="24"/>
          <w:szCs w:val="24"/>
        </w:rPr>
        <w:t>the conformity of statutes and international agreements to the Constitution.</w:t>
      </w:r>
      <w:r w:rsidRPr="00181BE3">
        <w:rPr>
          <w:rStyle w:val="Odwoanieprzypisudolnego"/>
          <w:rFonts w:ascii="Cambria" w:hAnsi="Cambria"/>
          <w:sz w:val="24"/>
          <w:szCs w:val="24"/>
        </w:rPr>
        <w:footnoteReference w:id="1"/>
      </w:r>
      <w:r w:rsidRPr="00181BE3">
        <w:rPr>
          <w:rFonts w:ascii="Cambria" w:hAnsi="Cambria"/>
          <w:sz w:val="24"/>
          <w:szCs w:val="24"/>
        </w:rPr>
        <w:t xml:space="preserve"> The Tribunal enjoys </w:t>
      </w:r>
      <w:r w:rsidR="001017C5" w:rsidRPr="00181BE3">
        <w:rPr>
          <w:rFonts w:ascii="Cambria" w:hAnsi="Cambria"/>
          <w:sz w:val="24"/>
          <w:szCs w:val="24"/>
        </w:rPr>
        <w:t>the</w:t>
      </w:r>
      <w:r w:rsidRPr="00181BE3">
        <w:rPr>
          <w:rFonts w:ascii="Cambria" w:hAnsi="Cambria"/>
          <w:sz w:val="24"/>
          <w:szCs w:val="24"/>
        </w:rPr>
        <w:t xml:space="preserve"> distinctive political position</w:t>
      </w:r>
      <w:r w:rsidR="00113321" w:rsidRPr="00181BE3">
        <w:rPr>
          <w:rFonts w:ascii="Cambria" w:hAnsi="Cambria"/>
          <w:sz w:val="24"/>
          <w:szCs w:val="24"/>
        </w:rPr>
        <w:t xml:space="preserve"> </w:t>
      </w:r>
      <w:r w:rsidRPr="00181BE3">
        <w:rPr>
          <w:rFonts w:ascii="Cambria" w:hAnsi="Cambria"/>
          <w:sz w:val="24"/>
          <w:szCs w:val="24"/>
        </w:rPr>
        <w:t>of a so</w:t>
      </w:r>
      <w:r w:rsidR="007A4EF6" w:rsidRPr="00181BE3">
        <w:rPr>
          <w:rFonts w:ascii="Cambria" w:hAnsi="Cambria"/>
          <w:sz w:val="24"/>
          <w:szCs w:val="24"/>
        </w:rPr>
        <w:t>-</w:t>
      </w:r>
      <w:r w:rsidRPr="00181BE3">
        <w:rPr>
          <w:rFonts w:ascii="Cambria" w:hAnsi="Cambria"/>
          <w:sz w:val="24"/>
          <w:szCs w:val="24"/>
        </w:rPr>
        <w:t>called “negative legislator</w:t>
      </w:r>
      <w:r w:rsidR="00113321" w:rsidRPr="00181BE3">
        <w:rPr>
          <w:rFonts w:ascii="Cambria" w:hAnsi="Cambria"/>
          <w:sz w:val="24"/>
          <w:szCs w:val="24"/>
        </w:rPr>
        <w:t>,</w:t>
      </w:r>
      <w:r w:rsidRPr="00181BE3">
        <w:rPr>
          <w:rFonts w:ascii="Cambria" w:hAnsi="Cambria"/>
          <w:sz w:val="24"/>
          <w:szCs w:val="24"/>
        </w:rPr>
        <w:t>”</w:t>
      </w:r>
      <w:r w:rsidR="00113321" w:rsidRPr="00181BE3">
        <w:rPr>
          <w:rFonts w:ascii="Cambria" w:hAnsi="Cambria"/>
          <w:sz w:val="24"/>
          <w:szCs w:val="24"/>
        </w:rPr>
        <w:t xml:space="preserve"> as it is the only </w:t>
      </w:r>
      <w:r w:rsidR="002C683A" w:rsidRPr="00181BE3">
        <w:rPr>
          <w:rFonts w:ascii="Cambria" w:hAnsi="Cambria"/>
          <w:sz w:val="24"/>
          <w:szCs w:val="24"/>
        </w:rPr>
        <w:t>judicial entity</w:t>
      </w:r>
      <w:r w:rsidR="00113321" w:rsidRPr="00181BE3">
        <w:rPr>
          <w:rFonts w:ascii="Cambria" w:hAnsi="Cambria"/>
          <w:sz w:val="24"/>
          <w:szCs w:val="24"/>
        </w:rPr>
        <w:t xml:space="preserve"> explicitly empowered by the Constitution to strike down </w:t>
      </w:r>
      <w:r w:rsidR="00B7098C" w:rsidRPr="00181BE3">
        <w:rPr>
          <w:rFonts w:ascii="Cambria" w:hAnsi="Cambria"/>
          <w:sz w:val="24"/>
          <w:szCs w:val="24"/>
        </w:rPr>
        <w:t xml:space="preserve">legal </w:t>
      </w:r>
      <w:r w:rsidR="00113321" w:rsidRPr="00181BE3">
        <w:rPr>
          <w:rFonts w:ascii="Cambria" w:hAnsi="Cambria"/>
          <w:sz w:val="24"/>
          <w:szCs w:val="24"/>
        </w:rPr>
        <w:t>provisions</w:t>
      </w:r>
      <w:r w:rsidR="00AB5AB2" w:rsidRPr="00181BE3">
        <w:rPr>
          <w:rFonts w:ascii="Cambria" w:hAnsi="Cambria"/>
          <w:sz w:val="24"/>
          <w:szCs w:val="24"/>
        </w:rPr>
        <w:t xml:space="preserve"> functioning in the Polish legal order on a statutory level</w:t>
      </w:r>
      <w:r w:rsidR="00113321" w:rsidRPr="00181BE3">
        <w:rPr>
          <w:rFonts w:ascii="Cambria" w:hAnsi="Cambria"/>
          <w:sz w:val="24"/>
          <w:szCs w:val="24"/>
        </w:rPr>
        <w:t>.</w:t>
      </w:r>
      <w:r w:rsidR="00B81661" w:rsidRPr="00181BE3">
        <w:rPr>
          <w:rFonts w:ascii="Cambria" w:hAnsi="Cambria"/>
          <w:sz w:val="24"/>
          <w:szCs w:val="24"/>
        </w:rPr>
        <w:t xml:space="preserve"> As such, the Tribunal’s judgments are of universally binding application.</w:t>
      </w:r>
      <w:r w:rsidR="00516603" w:rsidRPr="00181BE3">
        <w:rPr>
          <w:rStyle w:val="Odwoanieprzypisudolnego"/>
          <w:rFonts w:ascii="Cambria" w:hAnsi="Cambria"/>
          <w:sz w:val="24"/>
          <w:szCs w:val="24"/>
        </w:rPr>
        <w:footnoteReference w:id="2"/>
      </w:r>
      <w:r w:rsidR="007B59E2" w:rsidRPr="00181BE3">
        <w:rPr>
          <w:rFonts w:ascii="Cambria" w:hAnsi="Cambria"/>
          <w:sz w:val="24"/>
          <w:szCs w:val="24"/>
        </w:rPr>
        <w:t xml:space="preserve"> </w:t>
      </w:r>
      <w:r w:rsidR="00C338A5" w:rsidRPr="00181BE3">
        <w:rPr>
          <w:rFonts w:ascii="Cambria" w:hAnsi="Cambria"/>
          <w:sz w:val="24"/>
          <w:szCs w:val="24"/>
        </w:rPr>
        <w:t xml:space="preserve">Since its inception in 1982, the Tribunal’s position has gradually evolved.  </w:t>
      </w:r>
      <w:r w:rsidR="00445201" w:rsidRPr="00181BE3">
        <w:rPr>
          <w:rFonts w:ascii="Cambria" w:hAnsi="Cambria"/>
          <w:sz w:val="24"/>
          <w:szCs w:val="24"/>
        </w:rPr>
        <w:t>At</w:t>
      </w:r>
      <w:r w:rsidR="007B59E2" w:rsidRPr="00181BE3">
        <w:rPr>
          <w:rFonts w:ascii="Cambria" w:hAnsi="Cambria"/>
          <w:sz w:val="24"/>
          <w:szCs w:val="24"/>
        </w:rPr>
        <w:t xml:space="preserve"> the </w:t>
      </w:r>
      <w:r w:rsidR="00445201" w:rsidRPr="00181BE3">
        <w:rPr>
          <w:rFonts w:ascii="Cambria" w:hAnsi="Cambria"/>
          <w:sz w:val="24"/>
          <w:szCs w:val="24"/>
        </w:rPr>
        <w:t xml:space="preserve">very beginning, the Tribunal has confined itself to </w:t>
      </w:r>
      <w:r w:rsidR="00A831B7" w:rsidRPr="00181BE3">
        <w:rPr>
          <w:rFonts w:ascii="Cambria" w:hAnsi="Cambria"/>
          <w:sz w:val="24"/>
          <w:szCs w:val="24"/>
        </w:rPr>
        <w:t xml:space="preserve">issuing </w:t>
      </w:r>
      <w:r w:rsidR="00445201" w:rsidRPr="00181BE3">
        <w:rPr>
          <w:rFonts w:ascii="Cambria" w:hAnsi="Cambria"/>
          <w:sz w:val="24"/>
          <w:szCs w:val="24"/>
        </w:rPr>
        <w:t xml:space="preserve">concise, dichotomous </w:t>
      </w:r>
      <w:r w:rsidR="00F80D28" w:rsidRPr="00181BE3">
        <w:rPr>
          <w:rFonts w:ascii="Cambria" w:hAnsi="Cambria"/>
          <w:sz w:val="24"/>
          <w:szCs w:val="24"/>
        </w:rPr>
        <w:t>“rulings with simple implications</w:t>
      </w:r>
      <w:r w:rsidR="00C338A5" w:rsidRPr="00181BE3">
        <w:rPr>
          <w:rFonts w:ascii="Cambria" w:hAnsi="Cambria"/>
          <w:sz w:val="24"/>
          <w:szCs w:val="24"/>
        </w:rPr>
        <w:t>.</w:t>
      </w:r>
      <w:r w:rsidR="00F80D28" w:rsidRPr="00181BE3">
        <w:rPr>
          <w:rFonts w:ascii="Cambria" w:hAnsi="Cambria"/>
          <w:sz w:val="24"/>
          <w:szCs w:val="24"/>
        </w:rPr>
        <w:t>”</w:t>
      </w:r>
      <w:r w:rsidR="00C338A5" w:rsidRPr="00181BE3">
        <w:rPr>
          <w:rStyle w:val="Odwoanieprzypisudolnego"/>
          <w:rFonts w:ascii="Cambria" w:hAnsi="Cambria"/>
          <w:sz w:val="24"/>
          <w:szCs w:val="24"/>
        </w:rPr>
        <w:footnoteReference w:id="3"/>
      </w:r>
      <w:r w:rsidR="00C338A5" w:rsidRPr="00181BE3">
        <w:rPr>
          <w:rFonts w:ascii="Cambria" w:hAnsi="Cambria"/>
          <w:sz w:val="24"/>
          <w:szCs w:val="24"/>
        </w:rPr>
        <w:t xml:space="preserve"> In such decisions</w:t>
      </w:r>
      <w:r w:rsidR="00D93205" w:rsidRPr="00181BE3">
        <w:rPr>
          <w:rFonts w:ascii="Cambria" w:hAnsi="Cambria"/>
          <w:sz w:val="24"/>
          <w:szCs w:val="24"/>
        </w:rPr>
        <w:t>,</w:t>
      </w:r>
      <w:r w:rsidR="00C338A5" w:rsidRPr="00181BE3">
        <w:rPr>
          <w:rFonts w:ascii="Cambria" w:hAnsi="Cambria"/>
          <w:sz w:val="24"/>
          <w:szCs w:val="24"/>
        </w:rPr>
        <w:t xml:space="preserve"> the Tribunal ruled that a challenged provision is either c</w:t>
      </w:r>
      <w:r w:rsidR="00445201" w:rsidRPr="00181BE3">
        <w:rPr>
          <w:rFonts w:ascii="Cambria" w:hAnsi="Cambria"/>
          <w:sz w:val="24"/>
          <w:szCs w:val="24"/>
        </w:rPr>
        <w:t xml:space="preserve">onsistent or inconsistent with a higher-level </w:t>
      </w:r>
      <w:r w:rsidR="00445201" w:rsidRPr="00181BE3">
        <w:rPr>
          <w:rFonts w:ascii="Cambria" w:hAnsi="Cambria"/>
          <w:sz w:val="24"/>
          <w:szCs w:val="24"/>
        </w:rPr>
        <w:lastRenderedPageBreak/>
        <w:t>norm.</w:t>
      </w:r>
      <w:r w:rsidR="00445201" w:rsidRPr="00181BE3">
        <w:rPr>
          <w:rStyle w:val="Odwoanieprzypisudolnego"/>
          <w:rFonts w:ascii="Cambria" w:hAnsi="Cambria"/>
          <w:sz w:val="24"/>
          <w:szCs w:val="24"/>
        </w:rPr>
        <w:footnoteReference w:id="4"/>
      </w:r>
      <w:r w:rsidR="00F80D28" w:rsidRPr="00181BE3">
        <w:rPr>
          <w:rFonts w:ascii="Cambria" w:hAnsi="Cambria"/>
          <w:sz w:val="24"/>
          <w:szCs w:val="24"/>
        </w:rPr>
        <w:t xml:space="preserve"> However, with the evolution of case law, </w:t>
      </w:r>
      <w:r w:rsidR="00FE4B8C" w:rsidRPr="00181BE3">
        <w:rPr>
          <w:rFonts w:ascii="Cambria" w:hAnsi="Cambria"/>
          <w:sz w:val="24"/>
          <w:szCs w:val="24"/>
        </w:rPr>
        <w:t xml:space="preserve">the Tribunal has </w:t>
      </w:r>
      <w:r w:rsidR="00F70EE7" w:rsidRPr="00181BE3">
        <w:rPr>
          <w:rFonts w:ascii="Cambria" w:hAnsi="Cambria"/>
          <w:sz w:val="24"/>
          <w:szCs w:val="24"/>
        </w:rPr>
        <w:t>realised</w:t>
      </w:r>
      <w:r w:rsidR="00FE4B8C" w:rsidRPr="00181BE3">
        <w:rPr>
          <w:rFonts w:ascii="Cambria" w:hAnsi="Cambria"/>
          <w:sz w:val="24"/>
          <w:szCs w:val="24"/>
        </w:rPr>
        <w:t xml:space="preserve"> the need to </w:t>
      </w:r>
      <w:r w:rsidR="00C862EA" w:rsidRPr="00181BE3">
        <w:rPr>
          <w:rFonts w:ascii="Cambria" w:hAnsi="Cambria"/>
          <w:sz w:val="24"/>
          <w:szCs w:val="24"/>
        </w:rPr>
        <w:t>hand down</w:t>
      </w:r>
      <w:r w:rsidR="00FE4B8C" w:rsidRPr="00181BE3">
        <w:rPr>
          <w:rFonts w:ascii="Cambria" w:hAnsi="Cambria"/>
          <w:sz w:val="24"/>
          <w:szCs w:val="24"/>
        </w:rPr>
        <w:t xml:space="preserve"> other types of</w:t>
      </w:r>
      <w:r w:rsidR="00EB1482" w:rsidRPr="00181BE3">
        <w:rPr>
          <w:rFonts w:ascii="Cambria" w:hAnsi="Cambria"/>
          <w:sz w:val="24"/>
          <w:szCs w:val="24"/>
        </w:rPr>
        <w:t xml:space="preserve"> rulings</w:t>
      </w:r>
      <w:r w:rsidR="00FE4B8C" w:rsidRPr="00181BE3">
        <w:rPr>
          <w:rFonts w:ascii="Cambria" w:hAnsi="Cambria"/>
          <w:sz w:val="24"/>
          <w:szCs w:val="24"/>
        </w:rPr>
        <w:t xml:space="preserve">. </w:t>
      </w:r>
      <w:r w:rsidR="00EB1482" w:rsidRPr="00181BE3">
        <w:rPr>
          <w:rFonts w:ascii="Cambria" w:hAnsi="Cambria"/>
          <w:sz w:val="24"/>
          <w:szCs w:val="24"/>
        </w:rPr>
        <w:t xml:space="preserve">The first of such are the </w:t>
      </w:r>
      <w:r w:rsidR="00FE4B8C" w:rsidRPr="00181BE3">
        <w:rPr>
          <w:rFonts w:ascii="Cambria" w:hAnsi="Cambria"/>
          <w:sz w:val="24"/>
          <w:szCs w:val="24"/>
        </w:rPr>
        <w:t xml:space="preserve">so-called </w:t>
      </w:r>
      <w:r w:rsidR="004642A4" w:rsidRPr="00181BE3">
        <w:rPr>
          <w:rFonts w:ascii="Cambria" w:hAnsi="Cambria"/>
          <w:sz w:val="24"/>
          <w:szCs w:val="24"/>
        </w:rPr>
        <w:t>‘</w:t>
      </w:r>
      <w:r w:rsidR="00FE4B8C" w:rsidRPr="00181BE3">
        <w:rPr>
          <w:rFonts w:ascii="Cambria" w:hAnsi="Cambria"/>
          <w:sz w:val="24"/>
          <w:szCs w:val="24"/>
        </w:rPr>
        <w:t>interpretative</w:t>
      </w:r>
      <w:r w:rsidR="004642A4" w:rsidRPr="00181BE3">
        <w:rPr>
          <w:rFonts w:ascii="Cambria" w:hAnsi="Cambria"/>
          <w:sz w:val="24"/>
          <w:szCs w:val="24"/>
        </w:rPr>
        <w:t>’</w:t>
      </w:r>
      <w:r w:rsidR="00FE4B8C" w:rsidRPr="00181BE3">
        <w:rPr>
          <w:rFonts w:ascii="Cambria" w:hAnsi="Cambria"/>
          <w:sz w:val="24"/>
          <w:szCs w:val="24"/>
        </w:rPr>
        <w:t xml:space="preserve"> judgments</w:t>
      </w:r>
      <w:r w:rsidR="00A72038" w:rsidRPr="00181BE3">
        <w:rPr>
          <w:rFonts w:ascii="Cambria" w:hAnsi="Cambria"/>
          <w:sz w:val="24"/>
          <w:szCs w:val="24"/>
        </w:rPr>
        <w:t xml:space="preserve">, </w:t>
      </w:r>
      <w:r w:rsidR="00FE4B8C" w:rsidRPr="00181BE3">
        <w:rPr>
          <w:rFonts w:ascii="Cambria" w:hAnsi="Cambria"/>
          <w:sz w:val="24"/>
          <w:szCs w:val="24"/>
        </w:rPr>
        <w:t xml:space="preserve">in which the Tribunal adjudicates the constitutionality of a particular interpretation of </w:t>
      </w:r>
      <w:r w:rsidR="00AE3603" w:rsidRPr="00181BE3">
        <w:rPr>
          <w:rFonts w:ascii="Cambria" w:hAnsi="Cambria"/>
          <w:sz w:val="24"/>
          <w:szCs w:val="24"/>
        </w:rPr>
        <w:t xml:space="preserve">a </w:t>
      </w:r>
      <w:r w:rsidR="00FE4B8C" w:rsidRPr="00181BE3">
        <w:rPr>
          <w:rFonts w:ascii="Cambria" w:hAnsi="Cambria"/>
          <w:sz w:val="24"/>
          <w:szCs w:val="24"/>
        </w:rPr>
        <w:t>provision</w:t>
      </w:r>
      <w:r w:rsidR="005B2C70" w:rsidRPr="00181BE3">
        <w:rPr>
          <w:rFonts w:ascii="Cambria" w:hAnsi="Cambria"/>
          <w:sz w:val="24"/>
          <w:szCs w:val="24"/>
        </w:rPr>
        <w:t xml:space="preserve"> (</w:t>
      </w:r>
      <w:r w:rsidR="004642A4" w:rsidRPr="00181BE3">
        <w:rPr>
          <w:rFonts w:ascii="Cambria" w:hAnsi="Cambria"/>
          <w:sz w:val="24"/>
          <w:szCs w:val="24"/>
        </w:rPr>
        <w:t>‘</w:t>
      </w:r>
      <w:r w:rsidR="005B2C70" w:rsidRPr="00181BE3">
        <w:rPr>
          <w:rFonts w:ascii="Cambria" w:hAnsi="Cambria"/>
          <w:sz w:val="24"/>
          <w:szCs w:val="24"/>
        </w:rPr>
        <w:t xml:space="preserve">Article </w:t>
      </w:r>
      <w:r w:rsidR="009A090D" w:rsidRPr="00181BE3">
        <w:rPr>
          <w:rFonts w:ascii="Cambria" w:hAnsi="Cambria"/>
          <w:sz w:val="24"/>
          <w:szCs w:val="24"/>
        </w:rPr>
        <w:t>A</w:t>
      </w:r>
      <w:r w:rsidR="005B2C70" w:rsidRPr="00181BE3">
        <w:rPr>
          <w:rFonts w:ascii="Cambria" w:hAnsi="Cambria"/>
          <w:sz w:val="24"/>
          <w:szCs w:val="24"/>
        </w:rPr>
        <w:t xml:space="preserve">…, understood that it… is consistent/inconsistent with Article </w:t>
      </w:r>
      <w:r w:rsidR="009A090D" w:rsidRPr="00181BE3">
        <w:rPr>
          <w:rFonts w:ascii="Cambria" w:hAnsi="Cambria"/>
          <w:sz w:val="24"/>
          <w:szCs w:val="24"/>
        </w:rPr>
        <w:t>B</w:t>
      </w:r>
      <w:r w:rsidR="005B2C70" w:rsidRPr="00181BE3">
        <w:rPr>
          <w:rFonts w:ascii="Cambria" w:hAnsi="Cambria"/>
          <w:sz w:val="24"/>
          <w:szCs w:val="24"/>
        </w:rPr>
        <w:t>…</w:t>
      </w:r>
      <w:r w:rsidR="004642A4" w:rsidRPr="00181BE3">
        <w:rPr>
          <w:rFonts w:ascii="Cambria" w:hAnsi="Cambria"/>
          <w:sz w:val="24"/>
          <w:szCs w:val="24"/>
        </w:rPr>
        <w:t>’</w:t>
      </w:r>
      <w:r w:rsidR="005B2C70" w:rsidRPr="00181BE3">
        <w:rPr>
          <w:rFonts w:ascii="Cambria" w:hAnsi="Cambria"/>
          <w:sz w:val="24"/>
          <w:szCs w:val="24"/>
        </w:rPr>
        <w:t>)</w:t>
      </w:r>
      <w:r w:rsidR="00FE4B8C" w:rsidRPr="00181BE3">
        <w:rPr>
          <w:rFonts w:ascii="Cambria" w:hAnsi="Cambria"/>
          <w:sz w:val="24"/>
          <w:szCs w:val="24"/>
        </w:rPr>
        <w:t>.</w:t>
      </w:r>
      <w:r w:rsidR="00FE4B8C" w:rsidRPr="00181BE3">
        <w:rPr>
          <w:rStyle w:val="Odwoanieprzypisudolnego"/>
          <w:rFonts w:ascii="Cambria" w:hAnsi="Cambria"/>
          <w:sz w:val="24"/>
          <w:szCs w:val="24"/>
        </w:rPr>
        <w:footnoteReference w:id="5"/>
      </w:r>
      <w:r w:rsidR="00950229" w:rsidRPr="00181BE3">
        <w:rPr>
          <w:rFonts w:ascii="Cambria" w:hAnsi="Cambria"/>
          <w:sz w:val="24"/>
          <w:szCs w:val="24"/>
        </w:rPr>
        <w:t xml:space="preserve"> Such a </w:t>
      </w:r>
      <w:r w:rsidR="00AE3603" w:rsidRPr="00181BE3">
        <w:rPr>
          <w:rFonts w:ascii="Cambria" w:hAnsi="Cambria"/>
          <w:sz w:val="24"/>
          <w:szCs w:val="24"/>
        </w:rPr>
        <w:t xml:space="preserve">form of decision </w:t>
      </w:r>
      <w:r w:rsidR="00950229" w:rsidRPr="00181BE3">
        <w:rPr>
          <w:rFonts w:ascii="Cambria" w:hAnsi="Cambria"/>
          <w:sz w:val="24"/>
          <w:szCs w:val="24"/>
        </w:rPr>
        <w:t>allows the Tribunal to eliminate one of the conflicting interpretations of the same provision, that violates a higher-level norm</w:t>
      </w:r>
      <w:r w:rsidR="00E31709" w:rsidRPr="00181BE3">
        <w:rPr>
          <w:rFonts w:ascii="Cambria" w:hAnsi="Cambria"/>
          <w:sz w:val="24"/>
          <w:szCs w:val="24"/>
        </w:rPr>
        <w:t>, without abrogating the entire provision</w:t>
      </w:r>
      <w:r w:rsidR="00950229" w:rsidRPr="00181BE3">
        <w:rPr>
          <w:rFonts w:ascii="Cambria" w:hAnsi="Cambria"/>
          <w:sz w:val="24"/>
          <w:szCs w:val="24"/>
        </w:rPr>
        <w:t>.</w:t>
      </w:r>
      <w:r w:rsidR="00AE3603" w:rsidRPr="00181BE3">
        <w:rPr>
          <w:rFonts w:ascii="Cambria" w:hAnsi="Cambria"/>
          <w:sz w:val="24"/>
          <w:szCs w:val="24"/>
        </w:rPr>
        <w:t xml:space="preserve"> The other</w:t>
      </w:r>
      <w:r w:rsidR="00A72038" w:rsidRPr="00181BE3">
        <w:rPr>
          <w:rFonts w:ascii="Cambria" w:hAnsi="Cambria"/>
          <w:sz w:val="24"/>
          <w:szCs w:val="24"/>
        </w:rPr>
        <w:t>, more nuanced</w:t>
      </w:r>
      <w:r w:rsidR="00AE3603" w:rsidRPr="00181BE3">
        <w:rPr>
          <w:rFonts w:ascii="Cambria" w:hAnsi="Cambria"/>
          <w:sz w:val="24"/>
          <w:szCs w:val="24"/>
        </w:rPr>
        <w:t xml:space="preserve"> type of </w:t>
      </w:r>
      <w:r w:rsidR="00BB7F4E" w:rsidRPr="00181BE3">
        <w:rPr>
          <w:rFonts w:ascii="Cambria" w:hAnsi="Cambria"/>
          <w:sz w:val="24"/>
          <w:szCs w:val="24"/>
        </w:rPr>
        <w:t>ruling</w:t>
      </w:r>
      <w:r w:rsidR="00AE3603" w:rsidRPr="00181BE3">
        <w:rPr>
          <w:rFonts w:ascii="Cambria" w:hAnsi="Cambria"/>
          <w:sz w:val="24"/>
          <w:szCs w:val="24"/>
        </w:rPr>
        <w:t xml:space="preserve"> is the so-called “limited</w:t>
      </w:r>
      <w:r w:rsidR="00CB0F44" w:rsidRPr="00181BE3">
        <w:rPr>
          <w:rFonts w:ascii="Cambria" w:hAnsi="Cambria"/>
          <w:sz w:val="24"/>
          <w:szCs w:val="24"/>
        </w:rPr>
        <w:t>”</w:t>
      </w:r>
      <w:r w:rsidR="00AE3603" w:rsidRPr="00181BE3">
        <w:rPr>
          <w:rFonts w:ascii="Cambria" w:hAnsi="Cambria"/>
          <w:sz w:val="24"/>
          <w:szCs w:val="24"/>
        </w:rPr>
        <w:t xml:space="preserve"> judgment</w:t>
      </w:r>
      <w:r w:rsidR="00E7658D" w:rsidRPr="00181BE3">
        <w:rPr>
          <w:rFonts w:ascii="Cambria" w:hAnsi="Cambria"/>
          <w:sz w:val="24"/>
          <w:szCs w:val="24"/>
        </w:rPr>
        <w:t xml:space="preserve">, in which the Tribunal </w:t>
      </w:r>
      <w:r w:rsidR="00D04201" w:rsidRPr="00181BE3">
        <w:rPr>
          <w:rFonts w:ascii="Cambria" w:hAnsi="Cambria"/>
          <w:sz w:val="24"/>
          <w:szCs w:val="24"/>
        </w:rPr>
        <w:t>rules on the constitutionality of</w:t>
      </w:r>
      <w:r w:rsidR="00E7658D" w:rsidRPr="00181BE3">
        <w:rPr>
          <w:rFonts w:ascii="Cambria" w:hAnsi="Cambria"/>
          <w:sz w:val="24"/>
          <w:szCs w:val="24"/>
        </w:rPr>
        <w:t xml:space="preserve"> a particular scope of application of a </w:t>
      </w:r>
      <w:r w:rsidR="009A090D" w:rsidRPr="00181BE3">
        <w:rPr>
          <w:rFonts w:ascii="Cambria" w:hAnsi="Cambria"/>
          <w:sz w:val="24"/>
          <w:szCs w:val="24"/>
        </w:rPr>
        <w:t xml:space="preserve">given </w:t>
      </w:r>
      <w:r w:rsidR="00E7658D" w:rsidRPr="00181BE3">
        <w:rPr>
          <w:rFonts w:ascii="Cambria" w:hAnsi="Cambria"/>
          <w:sz w:val="24"/>
          <w:szCs w:val="24"/>
        </w:rPr>
        <w:t xml:space="preserve">provision </w:t>
      </w:r>
      <w:r w:rsidR="009A090D" w:rsidRPr="00181BE3">
        <w:rPr>
          <w:rFonts w:ascii="Cambria" w:hAnsi="Cambria"/>
          <w:sz w:val="24"/>
          <w:szCs w:val="24"/>
        </w:rPr>
        <w:t xml:space="preserve">(“Article C …, in so far that it </w:t>
      </w:r>
      <w:r w:rsidR="00D04201" w:rsidRPr="00181BE3">
        <w:rPr>
          <w:rFonts w:ascii="Cambria" w:hAnsi="Cambria"/>
          <w:sz w:val="24"/>
          <w:szCs w:val="24"/>
        </w:rPr>
        <w:t>applies to/</w:t>
      </w:r>
      <w:r w:rsidR="00905B54" w:rsidRPr="00181BE3">
        <w:rPr>
          <w:rFonts w:ascii="Cambria" w:hAnsi="Cambria"/>
          <w:sz w:val="24"/>
          <w:szCs w:val="24"/>
        </w:rPr>
        <w:t>includes/omits</w:t>
      </w:r>
      <w:r w:rsidR="00D04201" w:rsidRPr="00181BE3">
        <w:rPr>
          <w:rFonts w:ascii="Cambria" w:hAnsi="Cambria"/>
          <w:sz w:val="24"/>
          <w:szCs w:val="24"/>
        </w:rPr>
        <w:t xml:space="preserve">/etc. </w:t>
      </w:r>
      <w:r w:rsidR="009A090D" w:rsidRPr="00181BE3">
        <w:rPr>
          <w:rFonts w:ascii="Cambria" w:hAnsi="Cambria"/>
          <w:sz w:val="24"/>
          <w:szCs w:val="24"/>
        </w:rPr>
        <w:t>… is consistent/inconsistent with Article D …”).</w:t>
      </w:r>
      <w:r w:rsidR="009A090D" w:rsidRPr="00181BE3">
        <w:rPr>
          <w:rStyle w:val="Odwoanieprzypisudolnego"/>
          <w:rFonts w:ascii="Cambria" w:hAnsi="Cambria"/>
          <w:sz w:val="24"/>
          <w:szCs w:val="24"/>
        </w:rPr>
        <w:footnoteReference w:id="6"/>
      </w:r>
      <w:r w:rsidR="009A090D" w:rsidRPr="00181BE3">
        <w:rPr>
          <w:rFonts w:ascii="Cambria" w:hAnsi="Cambria"/>
          <w:sz w:val="24"/>
          <w:szCs w:val="24"/>
        </w:rPr>
        <w:t xml:space="preserve"> In issuing a </w:t>
      </w:r>
      <w:r w:rsidR="00CB0F44" w:rsidRPr="00181BE3">
        <w:rPr>
          <w:rFonts w:ascii="Cambria" w:hAnsi="Cambria"/>
          <w:sz w:val="24"/>
          <w:szCs w:val="24"/>
        </w:rPr>
        <w:t>“</w:t>
      </w:r>
      <w:r w:rsidR="009A090D" w:rsidRPr="00181BE3">
        <w:rPr>
          <w:rFonts w:ascii="Cambria" w:hAnsi="Cambria"/>
          <w:sz w:val="24"/>
          <w:szCs w:val="24"/>
        </w:rPr>
        <w:t>limited</w:t>
      </w:r>
      <w:r w:rsidR="00CB0F44" w:rsidRPr="00181BE3">
        <w:rPr>
          <w:rFonts w:ascii="Cambria" w:hAnsi="Cambria"/>
          <w:sz w:val="24"/>
          <w:szCs w:val="24"/>
        </w:rPr>
        <w:t>”</w:t>
      </w:r>
      <w:r w:rsidR="009A090D" w:rsidRPr="00181BE3">
        <w:rPr>
          <w:rFonts w:ascii="Cambria" w:hAnsi="Cambria"/>
          <w:sz w:val="24"/>
          <w:szCs w:val="24"/>
        </w:rPr>
        <w:t xml:space="preserve"> judgment, the Tribunal </w:t>
      </w:r>
      <w:r w:rsidR="00351B23" w:rsidRPr="00181BE3">
        <w:rPr>
          <w:rFonts w:ascii="Cambria" w:hAnsi="Cambria"/>
          <w:sz w:val="24"/>
          <w:szCs w:val="24"/>
        </w:rPr>
        <w:t>decodes</w:t>
      </w:r>
      <w:r w:rsidR="009A090D" w:rsidRPr="00181BE3">
        <w:rPr>
          <w:rFonts w:ascii="Cambria" w:hAnsi="Cambria"/>
          <w:sz w:val="24"/>
          <w:szCs w:val="24"/>
        </w:rPr>
        <w:t xml:space="preserve"> a certain norm from the </w:t>
      </w:r>
      <w:r w:rsidR="00351B23" w:rsidRPr="00181BE3">
        <w:rPr>
          <w:rFonts w:ascii="Cambria" w:hAnsi="Cambria"/>
          <w:sz w:val="24"/>
          <w:szCs w:val="24"/>
        </w:rPr>
        <w:t xml:space="preserve">challenged </w:t>
      </w:r>
      <w:r w:rsidR="009A090D" w:rsidRPr="00181BE3">
        <w:rPr>
          <w:rFonts w:ascii="Cambria" w:hAnsi="Cambria"/>
          <w:sz w:val="24"/>
          <w:szCs w:val="24"/>
        </w:rPr>
        <w:t>legal provision</w:t>
      </w:r>
      <w:r w:rsidR="00351B23" w:rsidRPr="00181BE3">
        <w:rPr>
          <w:rFonts w:ascii="Cambria" w:hAnsi="Cambria"/>
          <w:sz w:val="24"/>
          <w:szCs w:val="24"/>
        </w:rPr>
        <w:t xml:space="preserve"> and then evaluates that decision</w:t>
      </w:r>
      <w:r w:rsidR="009A090D" w:rsidRPr="00181BE3">
        <w:rPr>
          <w:rFonts w:ascii="Cambria" w:hAnsi="Cambria"/>
          <w:sz w:val="24"/>
          <w:szCs w:val="24"/>
        </w:rPr>
        <w:t>.</w:t>
      </w:r>
      <w:r w:rsidR="009A090D" w:rsidRPr="00181BE3">
        <w:rPr>
          <w:rStyle w:val="Odwoanieprzypisudolnego"/>
          <w:rFonts w:ascii="Cambria" w:hAnsi="Cambria"/>
          <w:sz w:val="24"/>
          <w:szCs w:val="24"/>
        </w:rPr>
        <w:footnoteReference w:id="7"/>
      </w:r>
      <w:r w:rsidR="003D29D4" w:rsidRPr="00181BE3">
        <w:rPr>
          <w:rFonts w:ascii="Cambria" w:hAnsi="Cambria"/>
          <w:sz w:val="24"/>
          <w:szCs w:val="24"/>
        </w:rPr>
        <w:t xml:space="preserve"> </w:t>
      </w:r>
    </w:p>
    <w:p w14:paraId="0C289B59" w14:textId="0F6D4C9F" w:rsidR="00DE579D" w:rsidRPr="00181BE3" w:rsidRDefault="00D00F59" w:rsidP="00926D57">
      <w:pPr>
        <w:pStyle w:val="NormalIndented"/>
        <w:rPr>
          <w:rFonts w:ascii="Cambria" w:hAnsi="Cambria"/>
          <w:sz w:val="24"/>
          <w:szCs w:val="24"/>
        </w:rPr>
      </w:pPr>
      <w:r w:rsidRPr="00181BE3">
        <w:rPr>
          <w:rFonts w:ascii="Cambria" w:hAnsi="Cambria"/>
          <w:sz w:val="24"/>
          <w:szCs w:val="24"/>
        </w:rPr>
        <w:t xml:space="preserve">Since 2015 the Tribunal has become the subject of a constitutional crisis, which has been widely </w:t>
      </w:r>
      <w:r w:rsidR="0001592C" w:rsidRPr="00181BE3">
        <w:rPr>
          <w:rFonts w:ascii="Cambria" w:hAnsi="Cambria"/>
          <w:sz w:val="24"/>
          <w:szCs w:val="24"/>
        </w:rPr>
        <w:t>described and commented on</w:t>
      </w:r>
      <w:r w:rsidRPr="00181BE3">
        <w:rPr>
          <w:rFonts w:ascii="Cambria" w:hAnsi="Cambria"/>
          <w:sz w:val="24"/>
          <w:szCs w:val="24"/>
        </w:rPr>
        <w:t xml:space="preserve"> in both doctrine and </w:t>
      </w:r>
      <w:r w:rsidR="00C530EA" w:rsidRPr="00181BE3">
        <w:rPr>
          <w:rFonts w:ascii="Cambria" w:hAnsi="Cambria"/>
          <w:sz w:val="24"/>
          <w:szCs w:val="24"/>
        </w:rPr>
        <w:t>journalism</w:t>
      </w:r>
      <w:r w:rsidRPr="00181BE3">
        <w:rPr>
          <w:rFonts w:ascii="Cambria" w:hAnsi="Cambria"/>
          <w:sz w:val="24"/>
          <w:szCs w:val="24"/>
        </w:rPr>
        <w:t>.</w:t>
      </w:r>
      <w:r w:rsidR="0037466D" w:rsidRPr="00181BE3">
        <w:rPr>
          <w:rFonts w:ascii="Cambria" w:hAnsi="Cambria"/>
          <w:sz w:val="24"/>
          <w:szCs w:val="24"/>
        </w:rPr>
        <w:t xml:space="preserve"> The point of this essay is not to go into detail about the </w:t>
      </w:r>
      <w:r w:rsidR="00EF0EDB" w:rsidRPr="00181BE3">
        <w:rPr>
          <w:rFonts w:ascii="Cambria" w:hAnsi="Cambria"/>
          <w:sz w:val="24"/>
          <w:szCs w:val="24"/>
        </w:rPr>
        <w:t xml:space="preserve">details </w:t>
      </w:r>
      <w:r w:rsidR="0037466D" w:rsidRPr="00181BE3">
        <w:rPr>
          <w:rFonts w:ascii="Cambria" w:hAnsi="Cambria"/>
          <w:sz w:val="24"/>
          <w:szCs w:val="24"/>
        </w:rPr>
        <w:t>of the</w:t>
      </w:r>
      <w:r w:rsidR="00EF0EDB" w:rsidRPr="00181BE3">
        <w:rPr>
          <w:rFonts w:ascii="Cambria" w:hAnsi="Cambria"/>
          <w:sz w:val="24"/>
          <w:szCs w:val="24"/>
        </w:rPr>
        <w:t xml:space="preserve"> dispute</w:t>
      </w:r>
      <w:r w:rsidR="0037466D" w:rsidRPr="00181BE3">
        <w:rPr>
          <w:rFonts w:ascii="Cambria" w:hAnsi="Cambria"/>
          <w:sz w:val="24"/>
          <w:szCs w:val="24"/>
        </w:rPr>
        <w:t xml:space="preserve">. The reader should, however, be made aware </w:t>
      </w:r>
      <w:r w:rsidR="00EF0EDB" w:rsidRPr="00181BE3">
        <w:rPr>
          <w:rFonts w:ascii="Cambria" w:hAnsi="Cambria"/>
          <w:sz w:val="24"/>
          <w:szCs w:val="24"/>
        </w:rPr>
        <w:t xml:space="preserve">that </w:t>
      </w:r>
      <w:r w:rsidR="0037466D" w:rsidRPr="00181BE3">
        <w:rPr>
          <w:rFonts w:ascii="Cambria" w:hAnsi="Cambria"/>
          <w:sz w:val="24"/>
          <w:szCs w:val="24"/>
        </w:rPr>
        <w:t xml:space="preserve">due to the appointment of so-called doppelganger Judges (persons appointed to an already occupied </w:t>
      </w:r>
      <w:r w:rsidR="0001592C" w:rsidRPr="00181BE3">
        <w:rPr>
          <w:rFonts w:ascii="Cambria" w:hAnsi="Cambria"/>
          <w:sz w:val="24"/>
          <w:szCs w:val="24"/>
        </w:rPr>
        <w:t xml:space="preserve">judicial </w:t>
      </w:r>
      <w:r w:rsidR="0037466D" w:rsidRPr="00181BE3">
        <w:rPr>
          <w:rFonts w:ascii="Cambria" w:hAnsi="Cambria"/>
          <w:sz w:val="24"/>
          <w:szCs w:val="24"/>
        </w:rPr>
        <w:t>post)</w:t>
      </w:r>
      <w:r w:rsidR="0001592C" w:rsidRPr="00181BE3">
        <w:rPr>
          <w:rFonts w:ascii="Cambria" w:hAnsi="Cambria"/>
          <w:sz w:val="24"/>
          <w:szCs w:val="24"/>
        </w:rPr>
        <w:t xml:space="preserve">, the Tribunal has been </w:t>
      </w:r>
      <w:r w:rsidR="00EF0EDB" w:rsidRPr="00181BE3">
        <w:rPr>
          <w:rFonts w:ascii="Cambria" w:hAnsi="Cambria"/>
          <w:sz w:val="24"/>
          <w:szCs w:val="24"/>
        </w:rPr>
        <w:t>widely considered to have an improper composition.</w:t>
      </w:r>
      <w:r w:rsidR="00EF0EDB" w:rsidRPr="00181BE3">
        <w:rPr>
          <w:rStyle w:val="Odwoanieprzypisudolnego"/>
          <w:rFonts w:ascii="Cambria" w:hAnsi="Cambria"/>
          <w:sz w:val="24"/>
          <w:szCs w:val="24"/>
        </w:rPr>
        <w:footnoteReference w:id="8"/>
      </w:r>
      <w:r w:rsidR="006D0170" w:rsidRPr="00181BE3">
        <w:rPr>
          <w:rFonts w:ascii="Cambria" w:hAnsi="Cambria"/>
          <w:sz w:val="24"/>
          <w:szCs w:val="24"/>
        </w:rPr>
        <w:t xml:space="preserve"> The Polish Supreme Court has recently held, that “a body, in which persons appointed to posts already filled sit, is not the body described in the Constitution as the Constitutional Tribunal, and as such decisions issued by such a body do not have the effect, referred to in Article 190(1) of the Constitution.”</w:t>
      </w:r>
      <w:r w:rsidR="00DC7F78" w:rsidRPr="00181BE3">
        <w:rPr>
          <w:rStyle w:val="Odwoanieprzypisudolnego"/>
          <w:rFonts w:ascii="Cambria" w:hAnsi="Cambria"/>
          <w:sz w:val="24"/>
          <w:szCs w:val="24"/>
        </w:rPr>
        <w:footnoteReference w:id="9"/>
      </w:r>
      <w:r w:rsidR="00DC7F78" w:rsidRPr="00181BE3">
        <w:rPr>
          <w:rFonts w:ascii="Cambria" w:hAnsi="Cambria"/>
          <w:sz w:val="24"/>
          <w:szCs w:val="24"/>
        </w:rPr>
        <w:t xml:space="preserve"> The position of transnational, European tribunals on the matter will be addressed in further parts of the paper.</w:t>
      </w:r>
      <w:r w:rsidR="00B33297" w:rsidRPr="00181BE3">
        <w:rPr>
          <w:rFonts w:ascii="Cambria" w:hAnsi="Cambria"/>
          <w:sz w:val="24"/>
          <w:szCs w:val="24"/>
        </w:rPr>
        <w:t xml:space="preserve"> Furthermore, the Tribunal has been criticised as having become a political tool in the hands of the now-former Law and Justice government of Poland.</w:t>
      </w:r>
      <w:r w:rsidR="00B33297" w:rsidRPr="00181BE3">
        <w:rPr>
          <w:rStyle w:val="Odwoanieprzypisudolnego"/>
          <w:rFonts w:ascii="Cambria" w:hAnsi="Cambria"/>
          <w:sz w:val="24"/>
          <w:szCs w:val="24"/>
        </w:rPr>
        <w:footnoteReference w:id="10"/>
      </w:r>
      <w:r w:rsidR="00B33297" w:rsidRPr="00181BE3">
        <w:rPr>
          <w:rFonts w:ascii="Cambria" w:hAnsi="Cambria"/>
          <w:sz w:val="24"/>
          <w:szCs w:val="24"/>
        </w:rPr>
        <w:t xml:space="preserve"> </w:t>
      </w:r>
      <w:r w:rsidR="000F73C0" w:rsidRPr="00181BE3">
        <w:rPr>
          <w:rFonts w:ascii="Cambria" w:hAnsi="Cambria"/>
          <w:sz w:val="24"/>
          <w:szCs w:val="24"/>
        </w:rPr>
        <w:t>For the purposes of this paper</w:t>
      </w:r>
      <w:r w:rsidR="006D2266" w:rsidRPr="00181BE3">
        <w:rPr>
          <w:rFonts w:ascii="Cambria" w:hAnsi="Cambria"/>
          <w:sz w:val="24"/>
          <w:szCs w:val="24"/>
        </w:rPr>
        <w:t>,</w:t>
      </w:r>
      <w:r w:rsidR="000F73C0" w:rsidRPr="00181BE3">
        <w:rPr>
          <w:rFonts w:ascii="Cambria" w:hAnsi="Cambria"/>
          <w:sz w:val="24"/>
          <w:szCs w:val="24"/>
        </w:rPr>
        <w:t xml:space="preserve"> I avoid the widespread, </w:t>
      </w:r>
      <w:r w:rsidR="00CA0401" w:rsidRPr="00181BE3">
        <w:rPr>
          <w:rFonts w:ascii="Cambria" w:hAnsi="Cambria"/>
          <w:sz w:val="24"/>
          <w:szCs w:val="24"/>
        </w:rPr>
        <w:t xml:space="preserve">highly </w:t>
      </w:r>
      <w:r w:rsidR="000F73C0" w:rsidRPr="00181BE3">
        <w:rPr>
          <w:rFonts w:ascii="Cambria" w:hAnsi="Cambria"/>
          <w:sz w:val="24"/>
          <w:szCs w:val="24"/>
        </w:rPr>
        <w:t xml:space="preserve">politicised terms </w:t>
      </w:r>
      <w:r w:rsidR="000F73C0" w:rsidRPr="00181BE3">
        <w:rPr>
          <w:rFonts w:ascii="Cambria" w:hAnsi="Cambria"/>
          <w:sz w:val="24"/>
          <w:szCs w:val="24"/>
        </w:rPr>
        <w:lastRenderedPageBreak/>
        <w:t xml:space="preserve">surrounding the Tribunal, such as “the Culinary Tribunal” or “the neo-Tribunal”, although the reader should be aware of their usage. </w:t>
      </w:r>
    </w:p>
    <w:p w14:paraId="5AE45D22" w14:textId="2D5760C8" w:rsidR="00AB5AB2" w:rsidRPr="00181BE3" w:rsidRDefault="00AB5AB2" w:rsidP="00926D57">
      <w:pPr>
        <w:pStyle w:val="NormalIndented"/>
        <w:rPr>
          <w:rFonts w:ascii="Cambria" w:hAnsi="Cambria"/>
          <w:sz w:val="24"/>
          <w:szCs w:val="24"/>
        </w:rPr>
      </w:pPr>
      <w:r w:rsidRPr="00181BE3">
        <w:rPr>
          <w:rFonts w:ascii="Cambria" w:hAnsi="Cambria"/>
          <w:sz w:val="24"/>
          <w:szCs w:val="24"/>
        </w:rPr>
        <w:t>In 2021, in the midst of the ongoing constitutional crisis, the Tribunal issued four controversial rulings, in which it found that the provisions of three distinct acts of European law—that is the Treaty on European Union (TEU), Treaty on the Functioning of the European Union (TFEU) and the European Convention on Human Rights (ECHR)—are partially incompatible with the Polish Constitution. This new approach represented a significant departure from a well-grounded line of jurisprudence, that the Tribunal has aligned with in the past.</w:t>
      </w:r>
      <w:r w:rsidRPr="00181BE3">
        <w:rPr>
          <w:rStyle w:val="Odwoanieprzypisudolnego"/>
          <w:rFonts w:ascii="Cambria" w:hAnsi="Cambria"/>
          <w:sz w:val="24"/>
          <w:szCs w:val="24"/>
        </w:rPr>
        <w:footnoteReference w:id="11"/>
      </w:r>
      <w:r w:rsidRPr="00181BE3">
        <w:rPr>
          <w:rFonts w:ascii="Cambria" w:hAnsi="Cambria"/>
          <w:sz w:val="24"/>
          <w:szCs w:val="24"/>
        </w:rPr>
        <w:t xml:space="preserve"> The goal of this paper is to analyse those four rulings, explain the context behind their issuance, and consider the implications of such decisions.</w:t>
      </w:r>
    </w:p>
    <w:p w14:paraId="0D6173EB" w14:textId="7FA8671C" w:rsidR="00990A32" w:rsidRPr="00181BE3" w:rsidRDefault="00990A32" w:rsidP="00394384">
      <w:pPr>
        <w:pStyle w:val="Nagwek2"/>
        <w:rPr>
          <w:rFonts w:ascii="Cambria" w:hAnsi="Cambria"/>
          <w:sz w:val="24"/>
          <w:szCs w:val="24"/>
        </w:rPr>
      </w:pPr>
      <w:r w:rsidRPr="00181BE3">
        <w:rPr>
          <w:rFonts w:ascii="Cambria" w:hAnsi="Cambria"/>
          <w:sz w:val="24"/>
          <w:szCs w:val="24"/>
        </w:rPr>
        <w:t>I</w:t>
      </w:r>
      <w:r w:rsidR="00394384" w:rsidRPr="00181BE3">
        <w:rPr>
          <w:rFonts w:ascii="Cambria" w:hAnsi="Cambria"/>
          <w:sz w:val="24"/>
          <w:szCs w:val="24"/>
        </w:rPr>
        <w:t>I</w:t>
      </w:r>
      <w:r w:rsidRPr="00181BE3">
        <w:rPr>
          <w:rFonts w:ascii="Cambria" w:hAnsi="Cambria"/>
          <w:sz w:val="24"/>
          <w:szCs w:val="24"/>
        </w:rPr>
        <w:t xml:space="preserve">. </w:t>
      </w:r>
      <w:r w:rsidR="00FE1A0F" w:rsidRPr="00181BE3">
        <w:rPr>
          <w:rFonts w:ascii="Cambria" w:hAnsi="Cambria"/>
          <w:sz w:val="24"/>
          <w:szCs w:val="24"/>
        </w:rPr>
        <w:t>Interim measures</w:t>
      </w:r>
      <w:r w:rsidR="00496CD7" w:rsidRPr="00181BE3">
        <w:rPr>
          <w:rFonts w:ascii="Cambria" w:hAnsi="Cambria"/>
          <w:sz w:val="24"/>
          <w:szCs w:val="24"/>
        </w:rPr>
        <w:t xml:space="preserve"> (case P 7/20)</w:t>
      </w:r>
    </w:p>
    <w:p w14:paraId="373D7E61" w14:textId="433B2744" w:rsidR="008A00CA" w:rsidRPr="00181BE3" w:rsidRDefault="00DA1693" w:rsidP="00926D57">
      <w:pPr>
        <w:pStyle w:val="NormalIndented"/>
        <w:rPr>
          <w:rFonts w:ascii="Cambria" w:hAnsi="Cambria"/>
          <w:sz w:val="24"/>
          <w:szCs w:val="24"/>
        </w:rPr>
      </w:pPr>
      <w:r w:rsidRPr="00181BE3">
        <w:rPr>
          <w:rFonts w:ascii="Cambria" w:hAnsi="Cambria"/>
          <w:sz w:val="24"/>
          <w:szCs w:val="24"/>
        </w:rPr>
        <w:t xml:space="preserve">The background for the first of the aforementioned rulings is deeply intertwined with the </w:t>
      </w:r>
      <w:r w:rsidR="00AF6AF9" w:rsidRPr="00181BE3">
        <w:rPr>
          <w:rFonts w:ascii="Cambria" w:hAnsi="Cambria"/>
          <w:sz w:val="24"/>
          <w:szCs w:val="24"/>
        </w:rPr>
        <w:t xml:space="preserve">new </w:t>
      </w:r>
      <w:r w:rsidRPr="00181BE3">
        <w:rPr>
          <w:rFonts w:ascii="Cambria" w:hAnsi="Cambria"/>
          <w:sz w:val="24"/>
          <w:szCs w:val="24"/>
        </w:rPr>
        <w:t>Act on the Supreme Court</w:t>
      </w:r>
      <w:r w:rsidR="00AF6AF9" w:rsidRPr="00181BE3">
        <w:rPr>
          <w:rFonts w:ascii="Cambria" w:hAnsi="Cambria"/>
          <w:sz w:val="24"/>
          <w:szCs w:val="24"/>
        </w:rPr>
        <w:t xml:space="preserve"> of December 8, 2017</w:t>
      </w:r>
      <w:r w:rsidR="007201BC" w:rsidRPr="00181BE3">
        <w:rPr>
          <w:rFonts w:ascii="Cambria" w:hAnsi="Cambria"/>
          <w:sz w:val="24"/>
          <w:szCs w:val="24"/>
        </w:rPr>
        <w:t>, which, among others, established new disciplinary rules for judges</w:t>
      </w:r>
      <w:r w:rsidR="00A940C2" w:rsidRPr="00181BE3">
        <w:rPr>
          <w:rFonts w:ascii="Cambria" w:hAnsi="Cambria"/>
          <w:sz w:val="24"/>
          <w:szCs w:val="24"/>
        </w:rPr>
        <w:t xml:space="preserve"> in Poland</w:t>
      </w:r>
      <w:r w:rsidR="007201BC" w:rsidRPr="00181BE3">
        <w:rPr>
          <w:rFonts w:ascii="Cambria" w:hAnsi="Cambria"/>
          <w:sz w:val="24"/>
          <w:szCs w:val="24"/>
        </w:rPr>
        <w:t>.</w:t>
      </w:r>
      <w:r w:rsidRPr="00181BE3">
        <w:rPr>
          <w:rStyle w:val="Odwoanieprzypisudolnego"/>
          <w:rFonts w:ascii="Cambria" w:hAnsi="Cambria"/>
          <w:sz w:val="24"/>
          <w:szCs w:val="24"/>
        </w:rPr>
        <w:footnoteReference w:id="12"/>
      </w:r>
      <w:r w:rsidR="007201BC" w:rsidRPr="00181BE3">
        <w:rPr>
          <w:rFonts w:ascii="Cambria" w:hAnsi="Cambria"/>
          <w:sz w:val="24"/>
          <w:szCs w:val="24"/>
        </w:rPr>
        <w:t xml:space="preserve"> Th</w:t>
      </w:r>
      <w:r w:rsidR="00DC021F" w:rsidRPr="00181BE3">
        <w:rPr>
          <w:rFonts w:ascii="Cambria" w:hAnsi="Cambria"/>
          <w:sz w:val="24"/>
          <w:szCs w:val="24"/>
        </w:rPr>
        <w:t>is statute</w:t>
      </w:r>
      <w:r w:rsidR="007201BC" w:rsidRPr="00181BE3">
        <w:rPr>
          <w:rFonts w:ascii="Cambria" w:hAnsi="Cambria"/>
          <w:sz w:val="24"/>
          <w:szCs w:val="24"/>
        </w:rPr>
        <w:t xml:space="preserve"> created two new chambers of the Court, among them being the Disciplinary Chamber</w:t>
      </w:r>
      <w:r w:rsidR="00585284" w:rsidRPr="00181BE3">
        <w:rPr>
          <w:rFonts w:ascii="Cambria" w:hAnsi="Cambria"/>
          <w:sz w:val="24"/>
          <w:szCs w:val="24"/>
        </w:rPr>
        <w:t>, which was vested with the exclusive jurisdiction to adjudicate all disciplinary cases.</w:t>
      </w:r>
      <w:r w:rsidR="0094243C" w:rsidRPr="00181BE3">
        <w:rPr>
          <w:rFonts w:ascii="Cambria" w:hAnsi="Cambria"/>
          <w:sz w:val="24"/>
          <w:szCs w:val="24"/>
        </w:rPr>
        <w:t xml:space="preserve"> The impartiality of </w:t>
      </w:r>
      <w:r w:rsidR="00107E6E" w:rsidRPr="00181BE3">
        <w:rPr>
          <w:rFonts w:ascii="Cambria" w:hAnsi="Cambria"/>
          <w:sz w:val="24"/>
          <w:szCs w:val="24"/>
        </w:rPr>
        <w:t>the</w:t>
      </w:r>
      <w:r w:rsidR="0094243C" w:rsidRPr="00181BE3">
        <w:rPr>
          <w:rFonts w:ascii="Cambria" w:hAnsi="Cambria"/>
          <w:sz w:val="24"/>
          <w:szCs w:val="24"/>
        </w:rPr>
        <w:t xml:space="preserve"> </w:t>
      </w:r>
      <w:r w:rsidR="00107E6E" w:rsidRPr="00181BE3">
        <w:rPr>
          <w:rFonts w:ascii="Cambria" w:hAnsi="Cambria"/>
          <w:sz w:val="24"/>
          <w:szCs w:val="24"/>
        </w:rPr>
        <w:t>judges appointed to this Chamber</w:t>
      </w:r>
      <w:r w:rsidR="0094243C" w:rsidRPr="00181BE3">
        <w:rPr>
          <w:rFonts w:ascii="Cambria" w:hAnsi="Cambria"/>
          <w:sz w:val="24"/>
          <w:szCs w:val="24"/>
        </w:rPr>
        <w:t xml:space="preserve"> </w:t>
      </w:r>
      <w:r w:rsidR="00107E6E" w:rsidRPr="00181BE3">
        <w:rPr>
          <w:rFonts w:ascii="Cambria" w:hAnsi="Cambria"/>
          <w:sz w:val="24"/>
          <w:szCs w:val="24"/>
        </w:rPr>
        <w:t>was</w:t>
      </w:r>
      <w:r w:rsidR="0094243C" w:rsidRPr="00181BE3">
        <w:rPr>
          <w:rFonts w:ascii="Cambria" w:hAnsi="Cambria"/>
          <w:sz w:val="24"/>
          <w:szCs w:val="24"/>
        </w:rPr>
        <w:t xml:space="preserve"> met with scepticism, primarily from the other, “old” Chambers of the Supreme Court</w:t>
      </w:r>
      <w:r w:rsidR="00107E6E" w:rsidRPr="00181BE3">
        <w:rPr>
          <w:rFonts w:ascii="Cambria" w:hAnsi="Cambria"/>
          <w:sz w:val="24"/>
          <w:szCs w:val="24"/>
        </w:rPr>
        <w:t>, which began to request preliminary rulings from the Court of Justice of the EU</w:t>
      </w:r>
      <w:r w:rsidR="0094243C" w:rsidRPr="00181BE3">
        <w:rPr>
          <w:rFonts w:ascii="Cambria" w:hAnsi="Cambria"/>
          <w:sz w:val="24"/>
          <w:szCs w:val="24"/>
        </w:rPr>
        <w:t>.</w:t>
      </w:r>
      <w:r w:rsidR="0094243C" w:rsidRPr="00181BE3">
        <w:rPr>
          <w:rStyle w:val="Odwoanieprzypisudolnego"/>
          <w:rFonts w:ascii="Cambria" w:hAnsi="Cambria"/>
          <w:sz w:val="24"/>
          <w:szCs w:val="24"/>
        </w:rPr>
        <w:footnoteReference w:id="13"/>
      </w:r>
      <w:r w:rsidR="002E50B0" w:rsidRPr="00181BE3">
        <w:rPr>
          <w:rFonts w:ascii="Cambria" w:hAnsi="Cambria"/>
          <w:sz w:val="24"/>
          <w:szCs w:val="24"/>
        </w:rPr>
        <w:t xml:space="preserve"> On </w:t>
      </w:r>
      <w:r w:rsidR="004E5A6E" w:rsidRPr="00181BE3">
        <w:rPr>
          <w:rFonts w:ascii="Cambria" w:hAnsi="Cambria"/>
          <w:sz w:val="24"/>
          <w:szCs w:val="24"/>
        </w:rPr>
        <w:t>November</w:t>
      </w:r>
      <w:r w:rsidR="002E50B0" w:rsidRPr="00181BE3">
        <w:rPr>
          <w:rFonts w:ascii="Cambria" w:hAnsi="Cambria"/>
          <w:sz w:val="24"/>
          <w:szCs w:val="24"/>
        </w:rPr>
        <w:t xml:space="preserve"> 19, 2019, in response to </w:t>
      </w:r>
      <w:r w:rsidR="00AF6AF9" w:rsidRPr="00181BE3">
        <w:rPr>
          <w:rFonts w:ascii="Cambria" w:hAnsi="Cambria"/>
          <w:sz w:val="24"/>
          <w:szCs w:val="24"/>
        </w:rPr>
        <w:t>three</w:t>
      </w:r>
      <w:r w:rsidR="002E50B0" w:rsidRPr="00181BE3">
        <w:rPr>
          <w:rFonts w:ascii="Cambria" w:hAnsi="Cambria"/>
          <w:sz w:val="24"/>
          <w:szCs w:val="24"/>
        </w:rPr>
        <w:t xml:space="preserve"> </w:t>
      </w:r>
      <w:r w:rsidR="00DE1D56" w:rsidRPr="00181BE3">
        <w:rPr>
          <w:rFonts w:ascii="Cambria" w:hAnsi="Cambria"/>
          <w:sz w:val="24"/>
          <w:szCs w:val="24"/>
        </w:rPr>
        <w:t>such requests</w:t>
      </w:r>
      <w:r w:rsidR="002E50B0" w:rsidRPr="00181BE3">
        <w:rPr>
          <w:rFonts w:ascii="Cambria" w:hAnsi="Cambria"/>
          <w:sz w:val="24"/>
          <w:szCs w:val="24"/>
        </w:rPr>
        <w:t xml:space="preserve">, the </w:t>
      </w:r>
      <w:r w:rsidR="00DE1D56" w:rsidRPr="00181BE3">
        <w:rPr>
          <w:rFonts w:ascii="Cambria" w:hAnsi="Cambria"/>
          <w:sz w:val="24"/>
          <w:szCs w:val="24"/>
        </w:rPr>
        <w:t xml:space="preserve">CJEU </w:t>
      </w:r>
      <w:r w:rsidR="002E50B0" w:rsidRPr="00181BE3">
        <w:rPr>
          <w:rFonts w:ascii="Cambria" w:hAnsi="Cambria"/>
          <w:sz w:val="24"/>
          <w:szCs w:val="24"/>
        </w:rPr>
        <w:t xml:space="preserve">opened the </w:t>
      </w:r>
      <w:r w:rsidR="00DE1D56" w:rsidRPr="00181BE3">
        <w:rPr>
          <w:rFonts w:ascii="Cambria" w:hAnsi="Cambria"/>
          <w:sz w:val="24"/>
          <w:szCs w:val="24"/>
        </w:rPr>
        <w:t xml:space="preserve">proverbial </w:t>
      </w:r>
      <w:r w:rsidR="002E50B0" w:rsidRPr="00181BE3">
        <w:rPr>
          <w:rFonts w:ascii="Cambria" w:hAnsi="Cambria"/>
          <w:sz w:val="24"/>
          <w:szCs w:val="24"/>
        </w:rPr>
        <w:t>floodgates, ordering the national courts to verify the Disciplinary Chamber’s independence and impartiality.</w:t>
      </w:r>
      <w:r w:rsidR="002E50B0" w:rsidRPr="00181BE3">
        <w:rPr>
          <w:rStyle w:val="Odwoanieprzypisudolnego"/>
          <w:rFonts w:ascii="Cambria" w:hAnsi="Cambria"/>
          <w:sz w:val="24"/>
          <w:szCs w:val="24"/>
        </w:rPr>
        <w:footnoteReference w:id="14"/>
      </w:r>
      <w:r w:rsidR="00AF6AF9" w:rsidRPr="00181BE3">
        <w:rPr>
          <w:rFonts w:ascii="Cambria" w:hAnsi="Cambria"/>
          <w:sz w:val="24"/>
          <w:szCs w:val="24"/>
        </w:rPr>
        <w:t xml:space="preserve"> Furthermore, the European Commission initiated </w:t>
      </w:r>
      <w:r w:rsidR="005617A5" w:rsidRPr="00181BE3">
        <w:rPr>
          <w:rFonts w:ascii="Cambria" w:hAnsi="Cambria"/>
          <w:sz w:val="24"/>
          <w:szCs w:val="24"/>
        </w:rPr>
        <w:t>an</w:t>
      </w:r>
      <w:r w:rsidR="00AF6AF9" w:rsidRPr="00181BE3">
        <w:rPr>
          <w:rFonts w:ascii="Cambria" w:hAnsi="Cambria"/>
          <w:sz w:val="24"/>
          <w:szCs w:val="24"/>
        </w:rPr>
        <w:t xml:space="preserve"> anti-infringement procedure against the Polish government in relation to the new </w:t>
      </w:r>
      <w:r w:rsidR="005617A5" w:rsidRPr="00181BE3">
        <w:rPr>
          <w:rFonts w:ascii="Cambria" w:hAnsi="Cambria"/>
          <w:sz w:val="24"/>
          <w:szCs w:val="24"/>
        </w:rPr>
        <w:t>act on the Supreme Court.</w:t>
      </w:r>
      <w:r w:rsidR="006249AD" w:rsidRPr="00181BE3">
        <w:rPr>
          <w:rFonts w:ascii="Cambria" w:hAnsi="Cambria"/>
          <w:sz w:val="24"/>
          <w:szCs w:val="24"/>
        </w:rPr>
        <w:t xml:space="preserve"> The complaint eventually made its way to the CJEU, whereupon the Commission applied for interim measures against Poland, which the Grand Chamber of the Court granted o</w:t>
      </w:r>
      <w:r w:rsidR="00DF3F80" w:rsidRPr="00181BE3">
        <w:rPr>
          <w:rFonts w:ascii="Cambria" w:hAnsi="Cambria"/>
          <w:sz w:val="24"/>
          <w:szCs w:val="24"/>
        </w:rPr>
        <w:t>n April 8, 2020</w:t>
      </w:r>
      <w:r w:rsidR="006249AD" w:rsidRPr="00181BE3">
        <w:rPr>
          <w:rFonts w:ascii="Cambria" w:hAnsi="Cambria"/>
          <w:sz w:val="24"/>
          <w:szCs w:val="24"/>
        </w:rPr>
        <w:t>.</w:t>
      </w:r>
      <w:r w:rsidR="00BF3F0A" w:rsidRPr="00181BE3">
        <w:rPr>
          <w:rFonts w:ascii="Cambria" w:hAnsi="Cambria"/>
          <w:sz w:val="24"/>
          <w:szCs w:val="24"/>
        </w:rPr>
        <w:t xml:space="preserve"> </w:t>
      </w:r>
      <w:r w:rsidR="006249AD" w:rsidRPr="00181BE3">
        <w:rPr>
          <w:rFonts w:ascii="Cambria" w:hAnsi="Cambria"/>
          <w:sz w:val="24"/>
          <w:szCs w:val="24"/>
        </w:rPr>
        <w:t>The Polish Government was immediately ordered to</w:t>
      </w:r>
      <w:r w:rsidR="003646D3" w:rsidRPr="00181BE3">
        <w:rPr>
          <w:rFonts w:ascii="Cambria" w:hAnsi="Cambria"/>
          <w:sz w:val="24"/>
          <w:szCs w:val="24"/>
        </w:rPr>
        <w:t xml:space="preserve"> </w:t>
      </w:r>
      <w:r w:rsidR="00545DBD" w:rsidRPr="00181BE3">
        <w:rPr>
          <w:rFonts w:ascii="Cambria" w:hAnsi="Cambria"/>
          <w:sz w:val="24"/>
          <w:szCs w:val="24"/>
        </w:rPr>
        <w:t>“</w:t>
      </w:r>
      <w:r w:rsidR="00BF3F0A" w:rsidRPr="00181BE3">
        <w:rPr>
          <w:rFonts w:ascii="Cambria" w:hAnsi="Cambria"/>
          <w:sz w:val="24"/>
          <w:szCs w:val="24"/>
        </w:rPr>
        <w:t xml:space="preserve">suspend the application of </w:t>
      </w:r>
      <w:r w:rsidR="00545DBD" w:rsidRPr="00181BE3">
        <w:rPr>
          <w:rFonts w:ascii="Cambria" w:hAnsi="Cambria"/>
          <w:sz w:val="24"/>
          <w:szCs w:val="24"/>
        </w:rPr>
        <w:t>[</w:t>
      </w:r>
      <w:r w:rsidR="00BF3F0A" w:rsidRPr="00181BE3">
        <w:rPr>
          <w:rFonts w:ascii="Cambria" w:hAnsi="Cambria"/>
          <w:sz w:val="24"/>
          <w:szCs w:val="24"/>
        </w:rPr>
        <w:t>national law provisions</w:t>
      </w:r>
      <w:r w:rsidR="00545DBD" w:rsidRPr="00181BE3">
        <w:rPr>
          <w:rFonts w:ascii="Cambria" w:hAnsi="Cambria"/>
          <w:sz w:val="24"/>
          <w:szCs w:val="24"/>
        </w:rPr>
        <w:t>]</w:t>
      </w:r>
      <w:r w:rsidR="00BF3F0A" w:rsidRPr="00181BE3">
        <w:rPr>
          <w:rFonts w:ascii="Cambria" w:hAnsi="Cambria"/>
          <w:sz w:val="24"/>
          <w:szCs w:val="24"/>
        </w:rPr>
        <w:t xml:space="preserve"> forming the basis of the jurisdiction of the Disciplinary Chamber</w:t>
      </w:r>
      <w:r w:rsidR="00545DBD" w:rsidRPr="00181BE3">
        <w:rPr>
          <w:rFonts w:ascii="Cambria" w:hAnsi="Cambria"/>
          <w:sz w:val="24"/>
          <w:szCs w:val="24"/>
        </w:rPr>
        <w:t>”</w:t>
      </w:r>
      <w:r w:rsidR="00BF3F0A" w:rsidRPr="00181BE3">
        <w:rPr>
          <w:rFonts w:ascii="Cambria" w:hAnsi="Cambria"/>
          <w:sz w:val="24"/>
          <w:szCs w:val="24"/>
        </w:rPr>
        <w:t xml:space="preserve"> and to </w:t>
      </w:r>
      <w:r w:rsidR="00545DBD" w:rsidRPr="00181BE3">
        <w:rPr>
          <w:rFonts w:ascii="Cambria" w:hAnsi="Cambria"/>
          <w:sz w:val="24"/>
          <w:szCs w:val="24"/>
        </w:rPr>
        <w:t>“</w:t>
      </w:r>
      <w:r w:rsidR="00BF3F0A" w:rsidRPr="00181BE3">
        <w:rPr>
          <w:rFonts w:ascii="Cambria" w:hAnsi="Cambria"/>
          <w:sz w:val="24"/>
          <w:szCs w:val="24"/>
        </w:rPr>
        <w:t xml:space="preserve">refrain from referring the </w:t>
      </w:r>
      <w:r w:rsidR="00BF3F0A" w:rsidRPr="00181BE3">
        <w:rPr>
          <w:rFonts w:ascii="Cambria" w:hAnsi="Cambria"/>
          <w:sz w:val="24"/>
          <w:szCs w:val="24"/>
        </w:rPr>
        <w:lastRenderedPageBreak/>
        <w:t xml:space="preserve">cases pending before the </w:t>
      </w:r>
      <w:r w:rsidR="00545DBD" w:rsidRPr="00181BE3">
        <w:rPr>
          <w:rFonts w:ascii="Cambria" w:hAnsi="Cambria"/>
          <w:sz w:val="24"/>
          <w:szCs w:val="24"/>
        </w:rPr>
        <w:t>[</w:t>
      </w:r>
      <w:r w:rsidR="00BF3F0A" w:rsidRPr="00181BE3">
        <w:rPr>
          <w:rFonts w:ascii="Cambria" w:hAnsi="Cambria"/>
          <w:sz w:val="24"/>
          <w:szCs w:val="24"/>
        </w:rPr>
        <w:t>Disciplinary Chamber</w:t>
      </w:r>
      <w:r w:rsidR="00545DBD" w:rsidRPr="00181BE3">
        <w:rPr>
          <w:rFonts w:ascii="Cambria" w:hAnsi="Cambria"/>
          <w:sz w:val="24"/>
          <w:szCs w:val="24"/>
        </w:rPr>
        <w:t>]</w:t>
      </w:r>
      <w:r w:rsidR="00BF3F0A" w:rsidRPr="00181BE3">
        <w:rPr>
          <w:rFonts w:ascii="Cambria" w:hAnsi="Cambria"/>
          <w:sz w:val="24"/>
          <w:szCs w:val="24"/>
        </w:rPr>
        <w:t xml:space="preserve"> before a panel that does not meet the requirements of independenc</w:t>
      </w:r>
      <w:r w:rsidR="004E5A6E" w:rsidRPr="00181BE3">
        <w:rPr>
          <w:rFonts w:ascii="Cambria" w:hAnsi="Cambria"/>
          <w:sz w:val="24"/>
          <w:szCs w:val="24"/>
        </w:rPr>
        <w:t>e defined … in the judgment of 19 November 2019.”</w:t>
      </w:r>
      <w:r w:rsidR="00BF3F0A" w:rsidRPr="00181BE3">
        <w:rPr>
          <w:rStyle w:val="Odwoanieprzypisudolnego"/>
          <w:rFonts w:ascii="Cambria" w:hAnsi="Cambria"/>
          <w:sz w:val="24"/>
          <w:szCs w:val="24"/>
        </w:rPr>
        <w:footnoteReference w:id="15"/>
      </w:r>
      <w:r w:rsidR="00DB4151" w:rsidRPr="00181BE3">
        <w:rPr>
          <w:rFonts w:ascii="Cambria" w:hAnsi="Cambria"/>
          <w:sz w:val="24"/>
          <w:szCs w:val="24"/>
        </w:rPr>
        <w:t xml:space="preserve"> On the very next day, one of the judges directly affected by the </w:t>
      </w:r>
      <w:r w:rsidR="00CA49F8" w:rsidRPr="00181BE3">
        <w:rPr>
          <w:rFonts w:ascii="Cambria" w:hAnsi="Cambria"/>
          <w:sz w:val="24"/>
          <w:szCs w:val="24"/>
        </w:rPr>
        <w:t>CJEU</w:t>
      </w:r>
      <w:r w:rsidR="00DB4151" w:rsidRPr="00181BE3">
        <w:rPr>
          <w:rFonts w:ascii="Cambria" w:hAnsi="Cambria"/>
          <w:sz w:val="24"/>
          <w:szCs w:val="24"/>
        </w:rPr>
        <w:t>’s ruling—</w:t>
      </w:r>
      <w:r w:rsidR="00001508" w:rsidRPr="00181BE3">
        <w:rPr>
          <w:rFonts w:ascii="Cambria" w:hAnsi="Cambria"/>
          <w:sz w:val="24"/>
          <w:szCs w:val="24"/>
        </w:rPr>
        <w:t xml:space="preserve">Justice </w:t>
      </w:r>
      <w:r w:rsidR="00DB4151" w:rsidRPr="00181BE3">
        <w:rPr>
          <w:rFonts w:ascii="Cambria" w:hAnsi="Cambria"/>
          <w:sz w:val="24"/>
          <w:szCs w:val="24"/>
        </w:rPr>
        <w:t>Małgorzata Bednarek of the Disciplinary Chamber—</w:t>
      </w:r>
      <w:r w:rsidR="00F34092" w:rsidRPr="00181BE3">
        <w:rPr>
          <w:rFonts w:ascii="Cambria" w:hAnsi="Cambria"/>
          <w:sz w:val="24"/>
          <w:szCs w:val="24"/>
        </w:rPr>
        <w:t>raised</w:t>
      </w:r>
      <w:r w:rsidR="00DB4151" w:rsidRPr="00181BE3">
        <w:rPr>
          <w:rFonts w:ascii="Cambria" w:hAnsi="Cambria"/>
          <w:sz w:val="24"/>
          <w:szCs w:val="24"/>
        </w:rPr>
        <w:t xml:space="preserve"> the following question </w:t>
      </w:r>
      <w:r w:rsidR="00F34092" w:rsidRPr="00181BE3">
        <w:rPr>
          <w:rFonts w:ascii="Cambria" w:hAnsi="Cambria"/>
          <w:sz w:val="24"/>
          <w:szCs w:val="24"/>
        </w:rPr>
        <w:t>before</w:t>
      </w:r>
      <w:r w:rsidR="00DB4151" w:rsidRPr="00181BE3">
        <w:rPr>
          <w:rFonts w:ascii="Cambria" w:hAnsi="Cambria"/>
          <w:sz w:val="24"/>
          <w:szCs w:val="24"/>
        </w:rPr>
        <w:t xml:space="preserve"> the </w:t>
      </w:r>
      <w:r w:rsidR="000725FC" w:rsidRPr="00181BE3">
        <w:rPr>
          <w:rFonts w:ascii="Cambria" w:hAnsi="Cambria"/>
          <w:sz w:val="24"/>
          <w:szCs w:val="24"/>
        </w:rPr>
        <w:t xml:space="preserve">Constitutional </w:t>
      </w:r>
      <w:r w:rsidR="00DB4151" w:rsidRPr="00181BE3">
        <w:rPr>
          <w:rFonts w:ascii="Cambria" w:hAnsi="Cambria"/>
          <w:sz w:val="24"/>
          <w:szCs w:val="24"/>
        </w:rPr>
        <w:t>Tribunal:</w:t>
      </w:r>
    </w:p>
    <w:p w14:paraId="1C00D3E6" w14:textId="463FE7D9" w:rsidR="008840F6" w:rsidRPr="00181BE3" w:rsidRDefault="00D06229" w:rsidP="00D06229">
      <w:pPr>
        <w:pStyle w:val="Cytat"/>
        <w:rPr>
          <w:rFonts w:ascii="Cambria" w:hAnsi="Cambria"/>
          <w:sz w:val="24"/>
          <w:szCs w:val="24"/>
          <w:lang w:val="en-GB"/>
        </w:rPr>
      </w:pPr>
      <w:r w:rsidRPr="00181BE3">
        <w:rPr>
          <w:rFonts w:ascii="Cambria" w:hAnsi="Cambria"/>
          <w:sz w:val="24"/>
          <w:szCs w:val="24"/>
          <w:lang w:val="en-GB"/>
        </w:rPr>
        <w:t xml:space="preserve">“whether </w:t>
      </w:r>
      <w:r w:rsidR="00FB5250" w:rsidRPr="00181BE3">
        <w:rPr>
          <w:rFonts w:ascii="Cambria" w:hAnsi="Cambria"/>
          <w:sz w:val="24"/>
          <w:szCs w:val="24"/>
          <w:lang w:val="en-GB"/>
        </w:rPr>
        <w:t>the second sentence of Article</w:t>
      </w:r>
      <w:r w:rsidRPr="00181BE3">
        <w:rPr>
          <w:rFonts w:ascii="Cambria" w:hAnsi="Cambria"/>
          <w:sz w:val="24"/>
          <w:szCs w:val="24"/>
          <w:lang w:val="en-GB"/>
        </w:rPr>
        <w:t xml:space="preserve"> 4(</w:t>
      </w:r>
      <w:r w:rsidR="00DB4151" w:rsidRPr="00181BE3">
        <w:rPr>
          <w:rFonts w:ascii="Cambria" w:hAnsi="Cambria"/>
          <w:sz w:val="24"/>
          <w:szCs w:val="24"/>
          <w:lang w:val="en-GB"/>
        </w:rPr>
        <w:t>3</w:t>
      </w:r>
      <w:r w:rsidRPr="00181BE3">
        <w:rPr>
          <w:rFonts w:ascii="Cambria" w:hAnsi="Cambria"/>
          <w:sz w:val="24"/>
          <w:szCs w:val="24"/>
          <w:lang w:val="en-GB"/>
        </w:rPr>
        <w:t xml:space="preserve">) of the Treaty on European Union … in conjunction with </w:t>
      </w:r>
      <w:r w:rsidR="00FB5250" w:rsidRPr="00181BE3">
        <w:rPr>
          <w:rFonts w:ascii="Cambria" w:hAnsi="Cambria"/>
          <w:sz w:val="24"/>
          <w:szCs w:val="24"/>
          <w:lang w:val="en-GB"/>
        </w:rPr>
        <w:t>Article</w:t>
      </w:r>
      <w:r w:rsidRPr="00181BE3">
        <w:rPr>
          <w:rFonts w:ascii="Cambria" w:hAnsi="Cambria"/>
          <w:sz w:val="24"/>
          <w:szCs w:val="24"/>
          <w:lang w:val="en-GB"/>
        </w:rPr>
        <w:t xml:space="preserve"> 279 of the Treaty on the Functioning of the European Union …, insofar as it results in an obligation of a</w:t>
      </w:r>
      <w:r w:rsidR="00CA0401" w:rsidRPr="00181BE3">
        <w:rPr>
          <w:rFonts w:ascii="Cambria" w:hAnsi="Cambria"/>
          <w:sz w:val="24"/>
          <w:szCs w:val="24"/>
          <w:lang w:val="en-GB"/>
        </w:rPr>
        <w:t>n</w:t>
      </w:r>
      <w:r w:rsidR="00DB4151" w:rsidRPr="00181BE3">
        <w:rPr>
          <w:rFonts w:ascii="Cambria" w:hAnsi="Cambria"/>
          <w:sz w:val="24"/>
          <w:szCs w:val="24"/>
          <w:lang w:val="en-GB"/>
        </w:rPr>
        <w:t> </w:t>
      </w:r>
      <w:r w:rsidRPr="00181BE3">
        <w:rPr>
          <w:rFonts w:ascii="Cambria" w:hAnsi="Cambria"/>
          <w:sz w:val="24"/>
          <w:szCs w:val="24"/>
          <w:lang w:val="en-GB"/>
        </w:rPr>
        <w:t xml:space="preserve">EU member state to execute </w:t>
      </w:r>
      <w:r w:rsidR="00DF3F80" w:rsidRPr="00181BE3">
        <w:rPr>
          <w:rFonts w:ascii="Cambria" w:hAnsi="Cambria"/>
          <w:sz w:val="24"/>
          <w:szCs w:val="24"/>
          <w:lang w:val="en-GB"/>
        </w:rPr>
        <w:t>interim</w:t>
      </w:r>
      <w:r w:rsidRPr="00181BE3">
        <w:rPr>
          <w:rFonts w:ascii="Cambria" w:hAnsi="Cambria"/>
          <w:sz w:val="24"/>
          <w:szCs w:val="24"/>
          <w:lang w:val="en-GB"/>
        </w:rPr>
        <w:t xml:space="preserve"> measures relating to the shape of the system and functioning o</w:t>
      </w:r>
      <w:r w:rsidR="00DB4151" w:rsidRPr="00181BE3">
        <w:rPr>
          <w:rFonts w:ascii="Cambria" w:hAnsi="Cambria"/>
          <w:sz w:val="24"/>
          <w:szCs w:val="24"/>
          <w:lang w:val="en-GB"/>
        </w:rPr>
        <w:t>f</w:t>
      </w:r>
      <w:r w:rsidRPr="00181BE3">
        <w:rPr>
          <w:rFonts w:ascii="Cambria" w:hAnsi="Cambria"/>
          <w:sz w:val="24"/>
          <w:szCs w:val="24"/>
          <w:lang w:val="en-GB"/>
        </w:rPr>
        <w:t xml:space="preserve"> the constitutional organs of the judiciary o</w:t>
      </w:r>
      <w:r w:rsidR="00DB4151" w:rsidRPr="00181BE3">
        <w:rPr>
          <w:rFonts w:ascii="Cambria" w:hAnsi="Cambria"/>
          <w:sz w:val="24"/>
          <w:szCs w:val="24"/>
          <w:lang w:val="en-GB"/>
        </w:rPr>
        <w:t>f</w:t>
      </w:r>
      <w:r w:rsidRPr="00181BE3">
        <w:rPr>
          <w:rFonts w:ascii="Cambria" w:hAnsi="Cambria"/>
          <w:sz w:val="24"/>
          <w:szCs w:val="24"/>
          <w:lang w:val="en-GB"/>
        </w:rPr>
        <w:t xml:space="preserve"> that state, is consistent with Articles 2, 7, 8(1) and 90(1) in conjunction with Article 4(1) of the Constitution of Poland?”</w:t>
      </w:r>
      <w:r w:rsidRPr="00181BE3">
        <w:rPr>
          <w:rStyle w:val="Odwoanieprzypisudolnego"/>
          <w:rFonts w:ascii="Cambria" w:hAnsi="Cambria"/>
          <w:sz w:val="24"/>
          <w:szCs w:val="24"/>
          <w:lang w:val="en-GB"/>
        </w:rPr>
        <w:footnoteReference w:id="16"/>
      </w:r>
    </w:p>
    <w:p w14:paraId="39CC4033" w14:textId="77777777" w:rsidR="00B348B5" w:rsidRPr="00181BE3" w:rsidRDefault="00DB4151" w:rsidP="006D2E33">
      <w:pPr>
        <w:pStyle w:val="NormalIndented"/>
        <w:rPr>
          <w:rFonts w:ascii="Cambria" w:hAnsi="Cambria"/>
          <w:sz w:val="24"/>
          <w:szCs w:val="24"/>
        </w:rPr>
      </w:pPr>
      <w:r w:rsidRPr="00181BE3">
        <w:rPr>
          <w:rFonts w:ascii="Cambria" w:hAnsi="Cambria"/>
          <w:sz w:val="24"/>
          <w:szCs w:val="24"/>
        </w:rPr>
        <w:t>Under the second sentence of Article 4(3) of TEU “The Member States shall take any appropriate measure, general or particular, to ensure fulfilment of the obligations arising out of the Treaties or resulting from the acts of the institutions of the Union</w:t>
      </w:r>
      <w:r w:rsidR="00926D57" w:rsidRPr="00181BE3">
        <w:rPr>
          <w:rFonts w:ascii="Cambria" w:hAnsi="Cambria"/>
          <w:sz w:val="24"/>
          <w:szCs w:val="24"/>
        </w:rPr>
        <w:t>,</w:t>
      </w:r>
      <w:r w:rsidRPr="00181BE3">
        <w:rPr>
          <w:rFonts w:ascii="Cambria" w:hAnsi="Cambria"/>
          <w:sz w:val="24"/>
          <w:szCs w:val="24"/>
        </w:rPr>
        <w:t>”</w:t>
      </w:r>
      <w:r w:rsidRPr="00181BE3">
        <w:rPr>
          <w:rStyle w:val="Odwoanieprzypisudolnego"/>
          <w:rFonts w:ascii="Cambria" w:hAnsi="Cambria"/>
          <w:sz w:val="24"/>
          <w:szCs w:val="24"/>
        </w:rPr>
        <w:footnoteReference w:id="17"/>
      </w:r>
      <w:r w:rsidRPr="00181BE3">
        <w:rPr>
          <w:rFonts w:ascii="Cambria" w:hAnsi="Cambria"/>
          <w:sz w:val="24"/>
          <w:szCs w:val="24"/>
        </w:rPr>
        <w:t xml:space="preserve"> while Article 279 of the </w:t>
      </w:r>
      <w:r w:rsidR="007C494A" w:rsidRPr="00181BE3">
        <w:rPr>
          <w:rFonts w:ascii="Cambria" w:hAnsi="Cambria"/>
          <w:sz w:val="24"/>
          <w:szCs w:val="24"/>
        </w:rPr>
        <w:t xml:space="preserve">TFEU authorises the </w:t>
      </w:r>
      <w:r w:rsidR="00CA49F8" w:rsidRPr="00181BE3">
        <w:rPr>
          <w:rFonts w:ascii="Cambria" w:hAnsi="Cambria"/>
          <w:sz w:val="24"/>
          <w:szCs w:val="24"/>
        </w:rPr>
        <w:t>CJEU</w:t>
      </w:r>
      <w:r w:rsidR="007C494A" w:rsidRPr="00181BE3">
        <w:rPr>
          <w:rFonts w:ascii="Cambria" w:hAnsi="Cambria"/>
          <w:sz w:val="24"/>
          <w:szCs w:val="24"/>
        </w:rPr>
        <w:t xml:space="preserve"> to “prescribe any necessary interim measures”</w:t>
      </w:r>
      <w:r w:rsidR="00926D57" w:rsidRPr="00181BE3">
        <w:rPr>
          <w:rFonts w:ascii="Cambria" w:hAnsi="Cambria"/>
          <w:sz w:val="24"/>
          <w:szCs w:val="24"/>
        </w:rPr>
        <w:t xml:space="preserve"> it may deem appropriate</w:t>
      </w:r>
      <w:r w:rsidR="00291CBC" w:rsidRPr="00181BE3">
        <w:rPr>
          <w:rFonts w:ascii="Cambria" w:hAnsi="Cambria"/>
          <w:sz w:val="24"/>
          <w:szCs w:val="24"/>
        </w:rPr>
        <w:t xml:space="preserve"> in a pending case</w:t>
      </w:r>
      <w:r w:rsidR="00926D57" w:rsidRPr="00181BE3">
        <w:rPr>
          <w:rFonts w:ascii="Cambria" w:hAnsi="Cambria"/>
          <w:sz w:val="24"/>
          <w:szCs w:val="24"/>
        </w:rPr>
        <w:t>.</w:t>
      </w:r>
      <w:r w:rsidR="007C494A" w:rsidRPr="00181BE3">
        <w:rPr>
          <w:rStyle w:val="Odwoanieprzypisudolnego"/>
          <w:rFonts w:ascii="Cambria" w:hAnsi="Cambria"/>
          <w:sz w:val="24"/>
          <w:szCs w:val="24"/>
        </w:rPr>
        <w:footnoteReference w:id="18"/>
      </w:r>
      <w:r w:rsidR="00673C8C" w:rsidRPr="00181BE3">
        <w:rPr>
          <w:rFonts w:ascii="Cambria" w:hAnsi="Cambria"/>
          <w:sz w:val="24"/>
          <w:szCs w:val="24"/>
        </w:rPr>
        <w:t xml:space="preserve"> </w:t>
      </w:r>
      <w:r w:rsidR="00001508" w:rsidRPr="00181BE3">
        <w:rPr>
          <w:rFonts w:ascii="Cambria" w:hAnsi="Cambria"/>
          <w:sz w:val="24"/>
          <w:szCs w:val="24"/>
        </w:rPr>
        <w:t>Justice</w:t>
      </w:r>
      <w:r w:rsidR="00673C8C" w:rsidRPr="00181BE3">
        <w:rPr>
          <w:rFonts w:ascii="Cambria" w:hAnsi="Cambria"/>
          <w:sz w:val="24"/>
          <w:szCs w:val="24"/>
        </w:rPr>
        <w:t xml:space="preserve"> Bednarek questioned whether the </w:t>
      </w:r>
      <w:r w:rsidR="00CA49F8" w:rsidRPr="00181BE3">
        <w:rPr>
          <w:rFonts w:ascii="Cambria" w:hAnsi="Cambria"/>
          <w:sz w:val="24"/>
          <w:szCs w:val="24"/>
        </w:rPr>
        <w:t>CJEU</w:t>
      </w:r>
      <w:r w:rsidR="00673C8C" w:rsidRPr="00181BE3">
        <w:rPr>
          <w:rFonts w:ascii="Cambria" w:hAnsi="Cambria"/>
          <w:sz w:val="24"/>
          <w:szCs w:val="24"/>
        </w:rPr>
        <w:t xml:space="preserve">’s mandate to issue measures relating to the national judiciary </w:t>
      </w:r>
      <w:r w:rsidR="008937BE" w:rsidRPr="00181BE3">
        <w:rPr>
          <w:rFonts w:ascii="Cambria" w:hAnsi="Cambria"/>
          <w:sz w:val="24"/>
          <w:szCs w:val="24"/>
        </w:rPr>
        <w:t xml:space="preserve">in Poland </w:t>
      </w:r>
      <w:r w:rsidR="00673C8C" w:rsidRPr="00181BE3">
        <w:rPr>
          <w:rFonts w:ascii="Cambria" w:hAnsi="Cambria"/>
          <w:sz w:val="24"/>
          <w:szCs w:val="24"/>
        </w:rPr>
        <w:t xml:space="preserve">violates </w:t>
      </w:r>
      <w:r w:rsidR="009575EC" w:rsidRPr="00181BE3">
        <w:rPr>
          <w:rFonts w:ascii="Cambria" w:hAnsi="Cambria"/>
          <w:sz w:val="24"/>
          <w:szCs w:val="24"/>
        </w:rPr>
        <w:t>several provisions of the Polish Constitution, particularly: Article 2</w:t>
      </w:r>
      <w:r w:rsidR="00246B66" w:rsidRPr="00181BE3">
        <w:rPr>
          <w:rFonts w:ascii="Cambria" w:hAnsi="Cambria"/>
          <w:sz w:val="24"/>
          <w:szCs w:val="24"/>
        </w:rPr>
        <w:t>—</w:t>
      </w:r>
      <w:r w:rsidR="009575EC" w:rsidRPr="00181BE3">
        <w:rPr>
          <w:rFonts w:ascii="Cambria" w:hAnsi="Cambria"/>
          <w:sz w:val="24"/>
          <w:szCs w:val="24"/>
        </w:rPr>
        <w:t>the principle of a democratic state ruled by law; Article 7—the principle of legality; Article 8(1)—the principle of supremacy of the Constitution</w:t>
      </w:r>
      <w:r w:rsidR="00F66F47" w:rsidRPr="00181BE3">
        <w:rPr>
          <w:rFonts w:ascii="Cambria" w:hAnsi="Cambria"/>
          <w:sz w:val="24"/>
          <w:szCs w:val="24"/>
        </w:rPr>
        <w:t>;</w:t>
      </w:r>
      <w:r w:rsidR="009575EC" w:rsidRPr="00181BE3">
        <w:rPr>
          <w:rFonts w:ascii="Cambria" w:hAnsi="Cambria"/>
          <w:sz w:val="24"/>
          <w:szCs w:val="24"/>
        </w:rPr>
        <w:t xml:space="preserve"> and finally Article 90(1), which regulates the rules of delegating competences of </w:t>
      </w:r>
      <w:r w:rsidR="008644D1" w:rsidRPr="00181BE3">
        <w:rPr>
          <w:rFonts w:ascii="Cambria" w:hAnsi="Cambria"/>
          <w:sz w:val="24"/>
          <w:szCs w:val="24"/>
        </w:rPr>
        <w:t xml:space="preserve">national institutions </w:t>
      </w:r>
      <w:r w:rsidR="009575EC" w:rsidRPr="00181BE3">
        <w:rPr>
          <w:rFonts w:ascii="Cambria" w:hAnsi="Cambria"/>
          <w:sz w:val="24"/>
          <w:szCs w:val="24"/>
        </w:rPr>
        <w:t>to an international organization, read in conjunction with Article 4(1)—</w:t>
      </w:r>
      <w:r w:rsidR="00F66F47" w:rsidRPr="00181BE3">
        <w:rPr>
          <w:rFonts w:ascii="Cambria" w:hAnsi="Cambria"/>
          <w:sz w:val="24"/>
          <w:szCs w:val="24"/>
        </w:rPr>
        <w:t xml:space="preserve">the </w:t>
      </w:r>
      <w:r w:rsidR="009575EC" w:rsidRPr="00181BE3">
        <w:rPr>
          <w:rFonts w:ascii="Cambria" w:hAnsi="Cambria"/>
          <w:sz w:val="24"/>
          <w:szCs w:val="24"/>
        </w:rPr>
        <w:t>principle of sovereignty</w:t>
      </w:r>
      <w:r w:rsidR="00F66F47" w:rsidRPr="00181BE3">
        <w:rPr>
          <w:rFonts w:ascii="Cambria" w:hAnsi="Cambria"/>
          <w:sz w:val="24"/>
          <w:szCs w:val="24"/>
        </w:rPr>
        <w:t xml:space="preserve"> of the nation.</w:t>
      </w:r>
      <w:r w:rsidR="00F66F47" w:rsidRPr="00181BE3">
        <w:rPr>
          <w:rStyle w:val="Odwoanieprzypisudolnego"/>
          <w:rFonts w:ascii="Cambria" w:hAnsi="Cambria"/>
          <w:sz w:val="24"/>
          <w:szCs w:val="24"/>
        </w:rPr>
        <w:footnoteReference w:id="19"/>
      </w:r>
      <w:r w:rsidR="00F66F47" w:rsidRPr="00181BE3">
        <w:rPr>
          <w:rFonts w:ascii="Cambria" w:hAnsi="Cambria"/>
          <w:sz w:val="24"/>
          <w:szCs w:val="24"/>
        </w:rPr>
        <w:t xml:space="preserve"> The main argument against the </w:t>
      </w:r>
      <w:r w:rsidR="00CA49F8" w:rsidRPr="00181BE3">
        <w:rPr>
          <w:rFonts w:ascii="Cambria" w:hAnsi="Cambria"/>
          <w:sz w:val="24"/>
          <w:szCs w:val="24"/>
        </w:rPr>
        <w:t>CJEU</w:t>
      </w:r>
      <w:r w:rsidR="00F66F47" w:rsidRPr="00181BE3">
        <w:rPr>
          <w:rFonts w:ascii="Cambria" w:hAnsi="Cambria"/>
          <w:sz w:val="24"/>
          <w:szCs w:val="24"/>
        </w:rPr>
        <w:t>’s mandate was that Poland never delegated competences relating to the judiciary upon the Union, and as such those matters remain within the scope of national law.</w:t>
      </w:r>
      <w:r w:rsidR="004B75EA" w:rsidRPr="00181BE3">
        <w:rPr>
          <w:rFonts w:ascii="Cambria" w:hAnsi="Cambria"/>
          <w:sz w:val="24"/>
          <w:szCs w:val="24"/>
        </w:rPr>
        <w:t xml:space="preserve"> </w:t>
      </w:r>
    </w:p>
    <w:p w14:paraId="2306D615" w14:textId="6F2116B9" w:rsidR="00CE3DEC" w:rsidRPr="00181BE3" w:rsidRDefault="00B348B5" w:rsidP="00247111">
      <w:pPr>
        <w:pStyle w:val="NormalIndented"/>
        <w:rPr>
          <w:rFonts w:ascii="Cambria" w:hAnsi="Cambria"/>
          <w:sz w:val="24"/>
          <w:szCs w:val="24"/>
        </w:rPr>
      </w:pPr>
      <w:r w:rsidRPr="00181BE3">
        <w:rPr>
          <w:rFonts w:ascii="Cambria" w:hAnsi="Cambria"/>
          <w:sz w:val="24"/>
          <w:szCs w:val="24"/>
        </w:rPr>
        <w:t xml:space="preserve">In the proceedings before the Tribunal, Justice </w:t>
      </w:r>
      <w:proofErr w:type="spellStart"/>
      <w:r w:rsidRPr="00181BE3">
        <w:rPr>
          <w:rFonts w:ascii="Cambria" w:hAnsi="Cambria"/>
          <w:sz w:val="24"/>
          <w:szCs w:val="24"/>
        </w:rPr>
        <w:t>Bendarek’s</w:t>
      </w:r>
      <w:proofErr w:type="spellEnd"/>
      <w:r w:rsidRPr="00181BE3">
        <w:rPr>
          <w:rFonts w:ascii="Cambria" w:hAnsi="Cambria"/>
          <w:sz w:val="24"/>
          <w:szCs w:val="24"/>
        </w:rPr>
        <w:t xml:space="preserve"> point of view was supported by the </w:t>
      </w:r>
      <w:r w:rsidR="00D5621A" w:rsidRPr="00181BE3">
        <w:rPr>
          <w:rFonts w:ascii="Cambria" w:hAnsi="Cambria"/>
          <w:sz w:val="24"/>
          <w:szCs w:val="24"/>
        </w:rPr>
        <w:t xml:space="preserve">National Public Prosecutor’s Office </w:t>
      </w:r>
      <w:r w:rsidRPr="00181BE3">
        <w:rPr>
          <w:rFonts w:ascii="Cambria" w:hAnsi="Cambria"/>
          <w:sz w:val="24"/>
          <w:szCs w:val="24"/>
        </w:rPr>
        <w:t xml:space="preserve">(led by the incumbent Minister of Justice) </w:t>
      </w:r>
      <w:r w:rsidR="00D5621A" w:rsidRPr="00181BE3">
        <w:rPr>
          <w:rFonts w:ascii="Cambria" w:hAnsi="Cambria"/>
          <w:sz w:val="24"/>
          <w:szCs w:val="24"/>
        </w:rPr>
        <w:t xml:space="preserve">as well as </w:t>
      </w:r>
      <w:r w:rsidRPr="00181BE3">
        <w:rPr>
          <w:rFonts w:ascii="Cambria" w:hAnsi="Cambria"/>
          <w:sz w:val="24"/>
          <w:szCs w:val="24"/>
        </w:rPr>
        <w:t xml:space="preserve">by </w:t>
      </w:r>
      <w:r w:rsidR="00D5621A" w:rsidRPr="00181BE3">
        <w:rPr>
          <w:rFonts w:ascii="Cambria" w:hAnsi="Cambria"/>
          <w:sz w:val="24"/>
          <w:szCs w:val="24"/>
        </w:rPr>
        <w:t>the Ministry of Foreign Affair</w:t>
      </w:r>
      <w:r w:rsidR="00302BE1" w:rsidRPr="00181BE3">
        <w:rPr>
          <w:rFonts w:ascii="Cambria" w:hAnsi="Cambria"/>
          <w:sz w:val="24"/>
          <w:szCs w:val="24"/>
        </w:rPr>
        <w:t>s</w:t>
      </w:r>
      <w:r w:rsidRPr="00181BE3">
        <w:rPr>
          <w:rFonts w:ascii="Cambria" w:hAnsi="Cambria"/>
          <w:sz w:val="24"/>
          <w:szCs w:val="24"/>
        </w:rPr>
        <w:t>.</w:t>
      </w:r>
      <w:r w:rsidR="00D5621A" w:rsidRPr="00181BE3">
        <w:rPr>
          <w:rFonts w:ascii="Cambria" w:hAnsi="Cambria"/>
          <w:sz w:val="24"/>
          <w:szCs w:val="24"/>
        </w:rPr>
        <w:t xml:space="preserve"> </w:t>
      </w:r>
      <w:r w:rsidRPr="00181BE3">
        <w:rPr>
          <w:rFonts w:ascii="Cambria" w:hAnsi="Cambria"/>
          <w:sz w:val="24"/>
          <w:szCs w:val="24"/>
        </w:rPr>
        <w:t>Mean</w:t>
      </w:r>
      <w:r w:rsidR="00D5621A" w:rsidRPr="00181BE3">
        <w:rPr>
          <w:rFonts w:ascii="Cambria" w:hAnsi="Cambria"/>
          <w:sz w:val="24"/>
          <w:szCs w:val="24"/>
        </w:rPr>
        <w:t>while</w:t>
      </w:r>
      <w:r w:rsidR="00CA0401" w:rsidRPr="00181BE3">
        <w:rPr>
          <w:rFonts w:ascii="Cambria" w:hAnsi="Cambria"/>
          <w:sz w:val="24"/>
          <w:szCs w:val="24"/>
        </w:rPr>
        <w:t>,</w:t>
      </w:r>
      <w:r w:rsidR="00D5621A" w:rsidRPr="00181BE3">
        <w:rPr>
          <w:rFonts w:ascii="Cambria" w:hAnsi="Cambria"/>
          <w:sz w:val="24"/>
          <w:szCs w:val="24"/>
        </w:rPr>
        <w:t xml:space="preserve"> the </w:t>
      </w:r>
      <w:r w:rsidRPr="00181BE3">
        <w:rPr>
          <w:rFonts w:ascii="Cambria" w:hAnsi="Cambria"/>
          <w:sz w:val="24"/>
          <w:szCs w:val="24"/>
        </w:rPr>
        <w:t xml:space="preserve">Marshal of the </w:t>
      </w:r>
      <w:r w:rsidR="00D5621A" w:rsidRPr="00181BE3">
        <w:rPr>
          <w:rFonts w:ascii="Cambria" w:hAnsi="Cambria"/>
          <w:sz w:val="24"/>
          <w:szCs w:val="24"/>
        </w:rPr>
        <w:t xml:space="preserve">Sejm and the </w:t>
      </w:r>
      <w:r w:rsidR="00D5621A" w:rsidRPr="00181BE3">
        <w:rPr>
          <w:rFonts w:ascii="Cambria" w:hAnsi="Cambria"/>
          <w:sz w:val="24"/>
          <w:szCs w:val="24"/>
        </w:rPr>
        <w:lastRenderedPageBreak/>
        <w:t>Commissioner for Human Rights argued for the dismissal of the case.</w:t>
      </w:r>
      <w:r w:rsidR="00247111" w:rsidRPr="00181BE3">
        <w:rPr>
          <w:rFonts w:ascii="Cambria" w:hAnsi="Cambria"/>
          <w:sz w:val="24"/>
          <w:szCs w:val="24"/>
        </w:rPr>
        <w:t xml:space="preserve"> </w:t>
      </w:r>
      <w:r w:rsidR="004B75EA" w:rsidRPr="00181BE3">
        <w:rPr>
          <w:rFonts w:ascii="Cambria" w:hAnsi="Cambria"/>
          <w:sz w:val="24"/>
          <w:szCs w:val="24"/>
        </w:rPr>
        <w:t>On July 14, 2021, the Tribunal</w:t>
      </w:r>
      <w:r w:rsidR="002C009A" w:rsidRPr="00181BE3">
        <w:rPr>
          <w:rFonts w:ascii="Cambria" w:hAnsi="Cambria"/>
          <w:sz w:val="24"/>
          <w:szCs w:val="24"/>
        </w:rPr>
        <w:t xml:space="preserve">, sitting in a </w:t>
      </w:r>
      <w:r w:rsidR="003F63D6" w:rsidRPr="00181BE3">
        <w:rPr>
          <w:rFonts w:ascii="Cambria" w:hAnsi="Cambria"/>
          <w:sz w:val="24"/>
          <w:szCs w:val="24"/>
        </w:rPr>
        <w:t>5-judge panel</w:t>
      </w:r>
      <w:r w:rsidR="002C009A" w:rsidRPr="00181BE3">
        <w:rPr>
          <w:rFonts w:ascii="Cambria" w:hAnsi="Cambria"/>
          <w:sz w:val="24"/>
          <w:szCs w:val="24"/>
        </w:rPr>
        <w:t>,</w:t>
      </w:r>
      <w:r w:rsidR="004B75EA" w:rsidRPr="00181BE3">
        <w:rPr>
          <w:rFonts w:ascii="Cambria" w:hAnsi="Cambria"/>
          <w:sz w:val="24"/>
          <w:szCs w:val="24"/>
        </w:rPr>
        <w:t xml:space="preserve"> </w:t>
      </w:r>
      <w:r w:rsidR="00F85737" w:rsidRPr="00181BE3">
        <w:rPr>
          <w:rFonts w:ascii="Cambria" w:hAnsi="Cambria"/>
          <w:sz w:val="24"/>
          <w:szCs w:val="24"/>
        </w:rPr>
        <w:t xml:space="preserve">laid down </w:t>
      </w:r>
      <w:r w:rsidR="002C009A" w:rsidRPr="00181BE3">
        <w:rPr>
          <w:rFonts w:ascii="Cambria" w:hAnsi="Cambria"/>
          <w:sz w:val="24"/>
          <w:szCs w:val="24"/>
        </w:rPr>
        <w:t xml:space="preserve">its </w:t>
      </w:r>
      <w:r w:rsidR="004B75EA" w:rsidRPr="00181BE3">
        <w:rPr>
          <w:rFonts w:ascii="Cambria" w:hAnsi="Cambria"/>
          <w:sz w:val="24"/>
          <w:szCs w:val="24"/>
        </w:rPr>
        <w:t xml:space="preserve">judgment, finding that the challenged provisions of EU law, “insofar as the </w:t>
      </w:r>
      <w:r w:rsidR="00CA49F8" w:rsidRPr="00181BE3">
        <w:rPr>
          <w:rFonts w:ascii="Cambria" w:hAnsi="Cambria"/>
          <w:sz w:val="24"/>
          <w:szCs w:val="24"/>
        </w:rPr>
        <w:t>CJEU</w:t>
      </w:r>
      <w:r w:rsidR="004B75EA" w:rsidRPr="00181BE3">
        <w:rPr>
          <w:rFonts w:ascii="Cambria" w:hAnsi="Cambria"/>
          <w:sz w:val="24"/>
          <w:szCs w:val="24"/>
        </w:rPr>
        <w:t xml:space="preserve"> imposes </w:t>
      </w:r>
      <w:r w:rsidR="004B75EA" w:rsidRPr="00181BE3">
        <w:rPr>
          <w:rFonts w:ascii="Cambria" w:hAnsi="Cambria"/>
          <w:i/>
          <w:iCs/>
          <w:sz w:val="24"/>
          <w:szCs w:val="24"/>
        </w:rPr>
        <w:t xml:space="preserve">ultra vires </w:t>
      </w:r>
      <w:r w:rsidR="004B75EA" w:rsidRPr="00181BE3">
        <w:rPr>
          <w:rFonts w:ascii="Cambria" w:hAnsi="Cambria"/>
          <w:sz w:val="24"/>
          <w:szCs w:val="24"/>
        </w:rPr>
        <w:t>obligations on the Republic of Poland, as a member state of the European Union, by issuing interim measures relating to the system and jurisdiction of Polish courts and the rules of procedure before Polish courts” is inconsistent</w:t>
      </w:r>
      <w:r w:rsidR="004B75EA" w:rsidRPr="00181BE3">
        <w:rPr>
          <w:rFonts w:ascii="Cambria" w:hAnsi="Cambria"/>
          <w:b/>
          <w:bCs/>
          <w:sz w:val="24"/>
          <w:szCs w:val="24"/>
        </w:rPr>
        <w:t xml:space="preserve"> </w:t>
      </w:r>
      <w:r w:rsidR="004B75EA" w:rsidRPr="00181BE3">
        <w:rPr>
          <w:rFonts w:ascii="Cambria" w:hAnsi="Cambria"/>
          <w:sz w:val="24"/>
          <w:szCs w:val="24"/>
        </w:rPr>
        <w:t xml:space="preserve">with </w:t>
      </w:r>
      <w:r w:rsidR="00FC616A" w:rsidRPr="00181BE3">
        <w:rPr>
          <w:rFonts w:ascii="Cambria" w:hAnsi="Cambria"/>
          <w:sz w:val="24"/>
          <w:szCs w:val="24"/>
        </w:rPr>
        <w:t>the above-mentioned articles of the Polish Constitution, and as such the principles of primacy and direct effect, as</w:t>
      </w:r>
      <w:r w:rsidR="00AE5302" w:rsidRPr="00181BE3">
        <w:rPr>
          <w:rFonts w:ascii="Cambria" w:hAnsi="Cambria"/>
          <w:sz w:val="24"/>
          <w:szCs w:val="24"/>
        </w:rPr>
        <w:t xml:space="preserve"> explained</w:t>
      </w:r>
      <w:r w:rsidR="00FC616A" w:rsidRPr="00181BE3">
        <w:rPr>
          <w:rFonts w:ascii="Cambria" w:hAnsi="Cambria"/>
          <w:sz w:val="24"/>
          <w:szCs w:val="24"/>
        </w:rPr>
        <w:t xml:space="preserve"> in Article 91(1) to (3)</w:t>
      </w:r>
      <w:r w:rsidR="00AE5302" w:rsidRPr="00181BE3">
        <w:rPr>
          <w:rFonts w:ascii="Cambria" w:hAnsi="Cambria"/>
          <w:sz w:val="24"/>
          <w:szCs w:val="24"/>
        </w:rPr>
        <w:t>,</w:t>
      </w:r>
      <w:r w:rsidR="00FC616A" w:rsidRPr="00181BE3">
        <w:rPr>
          <w:rFonts w:ascii="Cambria" w:hAnsi="Cambria"/>
          <w:sz w:val="24"/>
          <w:szCs w:val="24"/>
        </w:rPr>
        <w:t xml:space="preserve"> do not apply.</w:t>
      </w:r>
      <w:r w:rsidR="00563EE4" w:rsidRPr="00181BE3">
        <w:rPr>
          <w:rStyle w:val="Odwoanieprzypisudolnego"/>
          <w:rFonts w:ascii="Cambria" w:hAnsi="Cambria"/>
          <w:sz w:val="24"/>
          <w:szCs w:val="24"/>
        </w:rPr>
        <w:footnoteReference w:id="20"/>
      </w:r>
      <w:r w:rsidR="00CE3DEC" w:rsidRPr="00181BE3">
        <w:rPr>
          <w:rFonts w:ascii="Cambria" w:hAnsi="Cambria"/>
          <w:sz w:val="24"/>
          <w:szCs w:val="24"/>
        </w:rPr>
        <w:t xml:space="preserve"> The Tribunal itself noted that this is a limited (“insofar”) judgment, as:</w:t>
      </w:r>
    </w:p>
    <w:p w14:paraId="2EBA8D8E" w14:textId="164A0748" w:rsidR="00CE3DEC" w:rsidRPr="00181BE3" w:rsidRDefault="00CE3DEC" w:rsidP="00CE3DEC">
      <w:pPr>
        <w:pStyle w:val="Cytat"/>
        <w:rPr>
          <w:rFonts w:ascii="Cambria" w:hAnsi="Cambria"/>
          <w:sz w:val="24"/>
          <w:szCs w:val="24"/>
          <w:lang w:val="en-GB"/>
        </w:rPr>
      </w:pPr>
      <w:r w:rsidRPr="00181BE3">
        <w:rPr>
          <w:rFonts w:ascii="Cambria" w:hAnsi="Cambria"/>
          <w:sz w:val="24"/>
          <w:szCs w:val="24"/>
          <w:lang w:val="en-GB"/>
        </w:rPr>
        <w:t>“the declaration of partial unconstitutionality of an EU legal act does not lead to an outright derogation of such a norm [since] the Tribunal cannot derogate an EU legal act (because such a decision cannot be made by any member state) … the judgment has a limited character and at its core is similar to an interpretative judgment. Thereby it removes one of the possible interpretations of the provisions under review, without eliminating, in substance, the norm set forth in the provisions (editorial units) under review.”</w:t>
      </w:r>
      <w:r w:rsidRPr="00181BE3">
        <w:rPr>
          <w:rStyle w:val="Odwoanieprzypisudolnego"/>
          <w:rFonts w:ascii="Cambria" w:hAnsi="Cambria"/>
          <w:sz w:val="24"/>
          <w:szCs w:val="24"/>
          <w:lang w:val="en-GB"/>
        </w:rPr>
        <w:footnoteReference w:id="21"/>
      </w:r>
    </w:p>
    <w:p w14:paraId="043C2723" w14:textId="4A48935B" w:rsidR="004B75EA" w:rsidRPr="00181BE3" w:rsidRDefault="00F53EBF" w:rsidP="00F53EBF">
      <w:pPr>
        <w:rPr>
          <w:rFonts w:ascii="Cambria" w:hAnsi="Cambria"/>
          <w:sz w:val="24"/>
          <w:szCs w:val="24"/>
          <w:lang w:val="en-GB"/>
        </w:rPr>
      </w:pPr>
      <w:r w:rsidRPr="00181BE3">
        <w:rPr>
          <w:rFonts w:ascii="Cambria" w:hAnsi="Cambria"/>
          <w:sz w:val="24"/>
          <w:szCs w:val="24"/>
          <w:lang w:val="en-GB"/>
        </w:rPr>
        <w:t>In reviewing the challenged norm, t</w:t>
      </w:r>
      <w:r w:rsidR="00200203" w:rsidRPr="00181BE3">
        <w:rPr>
          <w:rFonts w:ascii="Cambria" w:hAnsi="Cambria"/>
          <w:sz w:val="24"/>
          <w:szCs w:val="24"/>
          <w:lang w:val="en-GB"/>
        </w:rPr>
        <w:t>he Tribunal decided that the EU exceeded its competences under the principle of conferral expressed in Article 5(1) of the TEU and as such the interim measures prescribed in case C-791/19 R had no effect.</w:t>
      </w:r>
    </w:p>
    <w:p w14:paraId="42A70B1B" w14:textId="65D088D4" w:rsidR="00990A32" w:rsidRPr="00181BE3" w:rsidRDefault="00990A32" w:rsidP="00394384">
      <w:pPr>
        <w:pStyle w:val="Nagwek2"/>
        <w:rPr>
          <w:rFonts w:ascii="Cambria" w:hAnsi="Cambria"/>
          <w:sz w:val="24"/>
          <w:szCs w:val="24"/>
        </w:rPr>
      </w:pPr>
      <w:r w:rsidRPr="00181BE3">
        <w:rPr>
          <w:rFonts w:ascii="Cambria" w:hAnsi="Cambria"/>
          <w:sz w:val="24"/>
          <w:szCs w:val="24"/>
        </w:rPr>
        <w:t>II</w:t>
      </w:r>
      <w:r w:rsidR="00394384" w:rsidRPr="00181BE3">
        <w:rPr>
          <w:rFonts w:ascii="Cambria" w:hAnsi="Cambria"/>
          <w:sz w:val="24"/>
          <w:szCs w:val="24"/>
        </w:rPr>
        <w:t>I</w:t>
      </w:r>
      <w:r w:rsidRPr="00181BE3">
        <w:rPr>
          <w:rFonts w:ascii="Cambria" w:hAnsi="Cambria"/>
          <w:sz w:val="24"/>
          <w:szCs w:val="24"/>
        </w:rPr>
        <w:t xml:space="preserve">. </w:t>
      </w:r>
      <w:r w:rsidR="00FE1A0F" w:rsidRPr="00181BE3">
        <w:rPr>
          <w:rFonts w:ascii="Cambria" w:hAnsi="Cambria"/>
          <w:sz w:val="24"/>
          <w:szCs w:val="24"/>
        </w:rPr>
        <w:t xml:space="preserve">Case </w:t>
      </w:r>
      <w:r w:rsidRPr="00181BE3">
        <w:rPr>
          <w:rFonts w:ascii="Cambria" w:hAnsi="Cambria"/>
          <w:sz w:val="24"/>
          <w:szCs w:val="24"/>
        </w:rPr>
        <w:t>K 3/21</w:t>
      </w:r>
      <w:r w:rsidR="00FE1A0F" w:rsidRPr="00181BE3">
        <w:rPr>
          <w:rFonts w:ascii="Cambria" w:hAnsi="Cambria"/>
          <w:sz w:val="24"/>
          <w:szCs w:val="24"/>
        </w:rPr>
        <w:t xml:space="preserve">—The primacy of EU Law </w:t>
      </w:r>
    </w:p>
    <w:p w14:paraId="10EA4721" w14:textId="19712D1B" w:rsidR="004E4B31" w:rsidRPr="00181BE3" w:rsidRDefault="000F7A80" w:rsidP="004B75EA">
      <w:pPr>
        <w:pStyle w:val="NormalIndented"/>
        <w:rPr>
          <w:rFonts w:ascii="Cambria" w:hAnsi="Cambria"/>
          <w:sz w:val="24"/>
          <w:szCs w:val="24"/>
        </w:rPr>
      </w:pPr>
      <w:r w:rsidRPr="00181BE3">
        <w:rPr>
          <w:rFonts w:ascii="Cambria" w:hAnsi="Cambria"/>
          <w:sz w:val="24"/>
          <w:szCs w:val="24"/>
        </w:rPr>
        <w:t xml:space="preserve">On March 2, 2021, the CJEU laid down its </w:t>
      </w:r>
      <w:r w:rsidR="00C94DC9" w:rsidRPr="00181BE3">
        <w:rPr>
          <w:rFonts w:ascii="Cambria" w:hAnsi="Cambria"/>
          <w:sz w:val="24"/>
          <w:szCs w:val="24"/>
        </w:rPr>
        <w:t xml:space="preserve">prejudicial ruling </w:t>
      </w:r>
      <w:r w:rsidRPr="00181BE3">
        <w:rPr>
          <w:rFonts w:ascii="Cambria" w:hAnsi="Cambria"/>
          <w:sz w:val="24"/>
          <w:szCs w:val="24"/>
        </w:rPr>
        <w:t>in another case relating to the judiciary in Poland</w:t>
      </w:r>
      <w:r w:rsidR="00C94DC9" w:rsidRPr="00181BE3">
        <w:rPr>
          <w:rFonts w:ascii="Cambria" w:hAnsi="Cambria"/>
          <w:sz w:val="24"/>
          <w:szCs w:val="24"/>
        </w:rPr>
        <w:t>, particularly the case of five persons who were denied judgeship by the National Council of the Judiciary</w:t>
      </w:r>
      <w:r w:rsidR="004E4B31" w:rsidRPr="00181BE3">
        <w:rPr>
          <w:rFonts w:ascii="Cambria" w:hAnsi="Cambria"/>
          <w:sz w:val="24"/>
          <w:szCs w:val="24"/>
        </w:rPr>
        <w:t>.</w:t>
      </w:r>
      <w:r w:rsidR="004E4B31" w:rsidRPr="00181BE3">
        <w:rPr>
          <w:rStyle w:val="Odwoanieprzypisudolnego"/>
          <w:rFonts w:ascii="Cambria" w:hAnsi="Cambria"/>
          <w:sz w:val="24"/>
          <w:szCs w:val="24"/>
        </w:rPr>
        <w:footnoteReference w:id="22"/>
      </w:r>
      <w:r w:rsidR="004E4B31" w:rsidRPr="00181BE3">
        <w:rPr>
          <w:rFonts w:ascii="Cambria" w:hAnsi="Cambria"/>
          <w:sz w:val="24"/>
          <w:szCs w:val="24"/>
        </w:rPr>
        <w:t xml:space="preserve"> In</w:t>
      </w:r>
      <w:r w:rsidR="00F13DC7" w:rsidRPr="00181BE3">
        <w:rPr>
          <w:rFonts w:ascii="Cambria" w:hAnsi="Cambria"/>
          <w:sz w:val="24"/>
          <w:szCs w:val="24"/>
        </w:rPr>
        <w:t xml:space="preserve"> the decision</w:t>
      </w:r>
      <w:r w:rsidR="004E4B31" w:rsidRPr="00181BE3">
        <w:rPr>
          <w:rFonts w:ascii="Cambria" w:hAnsi="Cambria"/>
          <w:sz w:val="24"/>
          <w:szCs w:val="24"/>
        </w:rPr>
        <w:t xml:space="preserve"> the Court questioned, inter alia, the changes to the procedure of appointing judges</w:t>
      </w:r>
      <w:r w:rsidR="00272B27" w:rsidRPr="00181BE3">
        <w:rPr>
          <w:rFonts w:ascii="Cambria" w:hAnsi="Cambria"/>
          <w:sz w:val="24"/>
          <w:szCs w:val="24"/>
        </w:rPr>
        <w:t>. The Court further</w:t>
      </w:r>
      <w:r w:rsidR="004E4B31" w:rsidRPr="00181BE3">
        <w:rPr>
          <w:rFonts w:ascii="Cambria" w:hAnsi="Cambria"/>
          <w:sz w:val="24"/>
          <w:szCs w:val="24"/>
        </w:rPr>
        <w:t xml:space="preserve"> referred to the principle of primacy of EU law and ordered the national courts to</w:t>
      </w:r>
      <w:r w:rsidR="00272B27" w:rsidRPr="00181BE3">
        <w:rPr>
          <w:rFonts w:ascii="Cambria" w:hAnsi="Cambria"/>
          <w:sz w:val="24"/>
          <w:szCs w:val="24"/>
        </w:rPr>
        <w:t xml:space="preserve">, if necessary, </w:t>
      </w:r>
      <w:r w:rsidR="00A92E99" w:rsidRPr="00181BE3">
        <w:rPr>
          <w:rFonts w:ascii="Cambria" w:hAnsi="Cambria"/>
          <w:sz w:val="24"/>
          <w:szCs w:val="24"/>
        </w:rPr>
        <w:t xml:space="preserve">to </w:t>
      </w:r>
      <w:r w:rsidR="004E4B31" w:rsidRPr="00181BE3">
        <w:rPr>
          <w:rFonts w:ascii="Cambria" w:hAnsi="Cambria"/>
          <w:sz w:val="24"/>
          <w:szCs w:val="24"/>
        </w:rPr>
        <w:t xml:space="preserve">disapply those provisions and apply </w:t>
      </w:r>
      <w:r w:rsidR="00A92E99" w:rsidRPr="00181BE3">
        <w:rPr>
          <w:rFonts w:ascii="Cambria" w:hAnsi="Cambria"/>
          <w:sz w:val="24"/>
          <w:szCs w:val="24"/>
        </w:rPr>
        <w:t xml:space="preserve">the </w:t>
      </w:r>
      <w:r w:rsidR="004E4B31" w:rsidRPr="00181BE3">
        <w:rPr>
          <w:rFonts w:ascii="Cambria" w:hAnsi="Cambria"/>
          <w:sz w:val="24"/>
          <w:szCs w:val="24"/>
        </w:rPr>
        <w:t>provisions previously in force.</w:t>
      </w:r>
      <w:r w:rsidR="00FC2784" w:rsidRPr="00181BE3">
        <w:rPr>
          <w:rFonts w:ascii="Cambria" w:hAnsi="Cambria"/>
          <w:sz w:val="24"/>
          <w:szCs w:val="24"/>
        </w:rPr>
        <w:t xml:space="preserve"> Such a decision was met with a swift reaction of the Polish Prime Minister—Mr</w:t>
      </w:r>
      <w:r w:rsidR="00DF00A9" w:rsidRPr="00181BE3">
        <w:rPr>
          <w:rFonts w:ascii="Cambria" w:hAnsi="Cambria"/>
          <w:sz w:val="24"/>
          <w:szCs w:val="24"/>
        </w:rPr>
        <w:t>.</w:t>
      </w:r>
      <w:r w:rsidR="00FC2784" w:rsidRPr="00181BE3">
        <w:rPr>
          <w:rFonts w:ascii="Cambria" w:hAnsi="Cambria"/>
          <w:sz w:val="24"/>
          <w:szCs w:val="24"/>
        </w:rPr>
        <w:t xml:space="preserve"> Mateusz Morawiecki—who on </w:t>
      </w:r>
      <w:r w:rsidR="00A92E99" w:rsidRPr="00181BE3">
        <w:rPr>
          <w:rFonts w:ascii="Cambria" w:hAnsi="Cambria"/>
          <w:sz w:val="24"/>
          <w:szCs w:val="24"/>
        </w:rPr>
        <w:t>29</w:t>
      </w:r>
      <w:r w:rsidR="00A92E99" w:rsidRPr="00181BE3">
        <w:rPr>
          <w:rFonts w:ascii="Cambria" w:hAnsi="Cambria"/>
          <w:sz w:val="24"/>
          <w:szCs w:val="24"/>
          <w:vertAlign w:val="superscript"/>
        </w:rPr>
        <w:t>th</w:t>
      </w:r>
      <w:r w:rsidR="00A92E99" w:rsidRPr="00181BE3">
        <w:rPr>
          <w:rFonts w:ascii="Cambria" w:hAnsi="Cambria"/>
          <w:sz w:val="24"/>
          <w:szCs w:val="24"/>
        </w:rPr>
        <w:t xml:space="preserve"> </w:t>
      </w:r>
      <w:r w:rsidR="00FC2784" w:rsidRPr="00181BE3">
        <w:rPr>
          <w:rFonts w:ascii="Cambria" w:hAnsi="Cambria"/>
          <w:sz w:val="24"/>
          <w:szCs w:val="24"/>
        </w:rPr>
        <w:t>March 2021 filed the following complaint with the Tribunal:</w:t>
      </w:r>
    </w:p>
    <w:p w14:paraId="1F0F614D" w14:textId="36C7775E" w:rsidR="00A02904" w:rsidRPr="00181BE3" w:rsidRDefault="002A2401" w:rsidP="00352253">
      <w:pPr>
        <w:pStyle w:val="Cytat"/>
        <w:contextualSpacing/>
        <w:rPr>
          <w:rFonts w:ascii="Cambria" w:hAnsi="Cambria"/>
          <w:sz w:val="24"/>
          <w:szCs w:val="24"/>
          <w:lang w:val="en-GB"/>
        </w:rPr>
      </w:pPr>
      <w:r w:rsidRPr="00181BE3">
        <w:rPr>
          <w:rFonts w:ascii="Cambria" w:hAnsi="Cambria"/>
          <w:sz w:val="24"/>
          <w:szCs w:val="24"/>
          <w:lang w:val="en-GB"/>
        </w:rPr>
        <w:t>“</w:t>
      </w:r>
      <w:r w:rsidR="00352253" w:rsidRPr="00181BE3">
        <w:rPr>
          <w:rFonts w:ascii="Cambria" w:hAnsi="Cambria"/>
          <w:sz w:val="24"/>
          <w:szCs w:val="24"/>
          <w:lang w:val="en-GB"/>
        </w:rPr>
        <w:t>I hereby</w:t>
      </w:r>
      <w:r w:rsidR="00A02904" w:rsidRPr="00181BE3">
        <w:rPr>
          <w:rFonts w:ascii="Cambria" w:hAnsi="Cambria"/>
          <w:sz w:val="24"/>
          <w:szCs w:val="24"/>
          <w:lang w:val="en-GB"/>
        </w:rPr>
        <w:t xml:space="preserve"> </w:t>
      </w:r>
      <w:r w:rsidR="00352253" w:rsidRPr="00181BE3">
        <w:rPr>
          <w:rFonts w:ascii="Cambria" w:hAnsi="Cambria"/>
          <w:sz w:val="24"/>
          <w:szCs w:val="24"/>
          <w:lang w:val="en-GB"/>
        </w:rPr>
        <w:t>ask for an examination of</w:t>
      </w:r>
      <w:r w:rsidR="00F9074D" w:rsidRPr="00181BE3">
        <w:rPr>
          <w:rFonts w:ascii="Cambria" w:hAnsi="Cambria"/>
          <w:sz w:val="24"/>
          <w:szCs w:val="24"/>
          <w:lang w:val="en-GB"/>
        </w:rPr>
        <w:t xml:space="preserve"> the</w:t>
      </w:r>
      <w:r w:rsidR="00352253" w:rsidRPr="00181BE3">
        <w:rPr>
          <w:rFonts w:ascii="Cambria" w:hAnsi="Cambria"/>
          <w:sz w:val="24"/>
          <w:szCs w:val="24"/>
          <w:lang w:val="en-GB"/>
        </w:rPr>
        <w:t xml:space="preserve"> compatibility of:</w:t>
      </w:r>
    </w:p>
    <w:p w14:paraId="281B7CD4" w14:textId="1416236C" w:rsidR="00A02904" w:rsidRPr="00181BE3" w:rsidRDefault="00C74B48" w:rsidP="006E24C3">
      <w:pPr>
        <w:pStyle w:val="Cytat"/>
        <w:numPr>
          <w:ilvl w:val="0"/>
          <w:numId w:val="2"/>
        </w:numPr>
        <w:contextualSpacing/>
        <w:rPr>
          <w:rFonts w:ascii="Cambria" w:hAnsi="Cambria"/>
          <w:sz w:val="24"/>
          <w:szCs w:val="24"/>
          <w:lang w:val="en-GB"/>
        </w:rPr>
      </w:pPr>
      <w:r w:rsidRPr="00181BE3">
        <w:rPr>
          <w:rFonts w:ascii="Cambria" w:hAnsi="Cambria"/>
          <w:sz w:val="24"/>
          <w:szCs w:val="24"/>
          <w:lang w:val="en-GB"/>
        </w:rPr>
        <w:lastRenderedPageBreak/>
        <w:t>t</w:t>
      </w:r>
      <w:r w:rsidR="00A02904" w:rsidRPr="00181BE3">
        <w:rPr>
          <w:rFonts w:ascii="Cambria" w:hAnsi="Cambria"/>
          <w:sz w:val="24"/>
          <w:szCs w:val="24"/>
          <w:lang w:val="en-GB"/>
        </w:rPr>
        <w:t>he first and second subparagraphs of Article 1 in conjunction with Article 4(3) of the</w:t>
      </w:r>
      <w:r w:rsidR="002A2401" w:rsidRPr="00181BE3">
        <w:rPr>
          <w:rFonts w:ascii="Cambria" w:hAnsi="Cambria"/>
          <w:sz w:val="24"/>
          <w:szCs w:val="24"/>
          <w:lang w:val="en-GB"/>
        </w:rPr>
        <w:t xml:space="preserve"> [</w:t>
      </w:r>
      <w:r w:rsidR="00A02904" w:rsidRPr="00181BE3">
        <w:rPr>
          <w:rFonts w:ascii="Cambria" w:hAnsi="Cambria"/>
          <w:sz w:val="24"/>
          <w:szCs w:val="24"/>
          <w:lang w:val="en-GB"/>
        </w:rPr>
        <w:t>TEU</w:t>
      </w:r>
      <w:r w:rsidR="00F9074D" w:rsidRPr="00181BE3">
        <w:rPr>
          <w:rFonts w:ascii="Cambria" w:hAnsi="Cambria"/>
          <w:sz w:val="24"/>
          <w:szCs w:val="24"/>
          <w:lang w:val="en-GB"/>
        </w:rPr>
        <w:t>]</w:t>
      </w:r>
      <w:r w:rsidR="00A02904" w:rsidRPr="00181BE3">
        <w:rPr>
          <w:rFonts w:ascii="Cambria" w:hAnsi="Cambria"/>
          <w:sz w:val="24"/>
          <w:szCs w:val="24"/>
          <w:lang w:val="en-GB"/>
        </w:rPr>
        <w:t>, understood in that they authorize or oblige a body applying the law to refrain from applying the Constitution of Poland, or order the application of laws in a manner inconsistent with the Constitution</w:t>
      </w:r>
      <w:r w:rsidR="00352253" w:rsidRPr="00181BE3">
        <w:rPr>
          <w:rFonts w:ascii="Cambria" w:hAnsi="Cambria"/>
          <w:sz w:val="24"/>
          <w:szCs w:val="24"/>
          <w:lang w:val="en-GB"/>
        </w:rPr>
        <w:t>—</w:t>
      </w:r>
      <w:r w:rsidR="00C900C5" w:rsidRPr="00181BE3">
        <w:rPr>
          <w:rFonts w:ascii="Cambria" w:hAnsi="Cambria"/>
          <w:sz w:val="24"/>
          <w:szCs w:val="24"/>
          <w:lang w:val="en-GB"/>
        </w:rPr>
        <w:t>with Articles 2</w:t>
      </w:r>
      <w:r w:rsidRPr="00181BE3">
        <w:rPr>
          <w:rFonts w:ascii="Cambria" w:hAnsi="Cambria"/>
          <w:sz w:val="24"/>
          <w:szCs w:val="24"/>
          <w:lang w:val="en-GB"/>
        </w:rPr>
        <w:t>;</w:t>
      </w:r>
      <w:r w:rsidR="00C900C5" w:rsidRPr="00181BE3">
        <w:rPr>
          <w:rFonts w:ascii="Cambria" w:hAnsi="Cambria"/>
          <w:sz w:val="24"/>
          <w:szCs w:val="24"/>
          <w:lang w:val="en-GB"/>
        </w:rPr>
        <w:t xml:space="preserve"> 7</w:t>
      </w:r>
      <w:r w:rsidRPr="00181BE3">
        <w:rPr>
          <w:rFonts w:ascii="Cambria" w:hAnsi="Cambria"/>
          <w:sz w:val="24"/>
          <w:szCs w:val="24"/>
          <w:lang w:val="en-GB"/>
        </w:rPr>
        <w:t>;</w:t>
      </w:r>
      <w:r w:rsidR="00C900C5" w:rsidRPr="00181BE3">
        <w:rPr>
          <w:rFonts w:ascii="Cambria" w:hAnsi="Cambria"/>
          <w:sz w:val="24"/>
          <w:szCs w:val="24"/>
          <w:lang w:val="en-GB"/>
        </w:rPr>
        <w:t xml:space="preserve"> 8(1) in conjunction </w:t>
      </w:r>
      <w:r w:rsidR="00A02904" w:rsidRPr="00181BE3">
        <w:rPr>
          <w:rFonts w:ascii="Cambria" w:hAnsi="Cambria"/>
          <w:sz w:val="24"/>
          <w:szCs w:val="24"/>
          <w:lang w:val="en-GB"/>
        </w:rPr>
        <w:t>with Articles 8(2), 90(1)</w:t>
      </w:r>
      <w:r w:rsidRPr="00181BE3">
        <w:rPr>
          <w:rFonts w:ascii="Cambria" w:hAnsi="Cambria"/>
          <w:sz w:val="24"/>
          <w:szCs w:val="24"/>
          <w:lang w:val="en-GB"/>
        </w:rPr>
        <w:t xml:space="preserve"> and</w:t>
      </w:r>
      <w:r w:rsidR="00A02904" w:rsidRPr="00181BE3">
        <w:rPr>
          <w:rFonts w:ascii="Cambria" w:hAnsi="Cambria"/>
          <w:sz w:val="24"/>
          <w:szCs w:val="24"/>
          <w:lang w:val="en-GB"/>
        </w:rPr>
        <w:t xml:space="preserve"> 91(2); </w:t>
      </w:r>
      <w:r w:rsidRPr="00181BE3">
        <w:rPr>
          <w:rFonts w:ascii="Cambria" w:hAnsi="Cambria"/>
          <w:sz w:val="24"/>
          <w:szCs w:val="24"/>
          <w:lang w:val="en-GB"/>
        </w:rPr>
        <w:t>as well as</w:t>
      </w:r>
      <w:r w:rsidR="00A02904" w:rsidRPr="00181BE3">
        <w:rPr>
          <w:rFonts w:ascii="Cambria" w:hAnsi="Cambria"/>
          <w:sz w:val="24"/>
          <w:szCs w:val="24"/>
          <w:lang w:val="en-GB"/>
        </w:rPr>
        <w:t xml:space="preserve"> Article 178(1) of the Constitution</w:t>
      </w:r>
      <w:r w:rsidRPr="00181BE3">
        <w:rPr>
          <w:rFonts w:ascii="Cambria" w:hAnsi="Cambria"/>
          <w:sz w:val="24"/>
          <w:szCs w:val="24"/>
          <w:lang w:val="en-GB"/>
        </w:rPr>
        <w:t xml:space="preserve"> of Poland;</w:t>
      </w:r>
    </w:p>
    <w:p w14:paraId="1818479A" w14:textId="40647153" w:rsidR="00A02904" w:rsidRPr="00181BE3" w:rsidRDefault="00C74B48" w:rsidP="00BB5B0B">
      <w:pPr>
        <w:pStyle w:val="Cytat"/>
        <w:numPr>
          <w:ilvl w:val="0"/>
          <w:numId w:val="2"/>
        </w:numPr>
        <w:contextualSpacing/>
        <w:rPr>
          <w:rFonts w:ascii="Cambria" w:hAnsi="Cambria"/>
          <w:sz w:val="24"/>
          <w:szCs w:val="24"/>
          <w:lang w:val="en-GB"/>
        </w:rPr>
      </w:pPr>
      <w:r w:rsidRPr="00181BE3">
        <w:rPr>
          <w:rFonts w:ascii="Cambria" w:hAnsi="Cambria"/>
          <w:sz w:val="24"/>
          <w:szCs w:val="24"/>
          <w:lang w:val="en-GB"/>
        </w:rPr>
        <w:t>t</w:t>
      </w:r>
      <w:r w:rsidR="00A02904" w:rsidRPr="00181BE3">
        <w:rPr>
          <w:rFonts w:ascii="Cambria" w:hAnsi="Cambria"/>
          <w:sz w:val="24"/>
          <w:szCs w:val="24"/>
          <w:lang w:val="en-GB"/>
        </w:rPr>
        <w:t>he second subparagraph of Article 19(1) in conjunction with Article 4(3) of the TEU, understood in that for the sake of ensuring effective legal protection, a body applying the law is authorized or obliged to apply legal provisions in a manner inconsistent with the Constitution, including the application of a provision that, by virtue of a ruling of the Constitutional Tribunal has ceased to be in force</w:t>
      </w:r>
      <w:r w:rsidR="00352253" w:rsidRPr="00181BE3">
        <w:rPr>
          <w:rFonts w:ascii="Cambria" w:hAnsi="Cambria"/>
          <w:sz w:val="24"/>
          <w:szCs w:val="24"/>
          <w:lang w:val="en-GB"/>
        </w:rPr>
        <w:t>—</w:t>
      </w:r>
      <w:r w:rsidR="00A02904" w:rsidRPr="00181BE3">
        <w:rPr>
          <w:rFonts w:ascii="Cambria" w:hAnsi="Cambria"/>
          <w:sz w:val="24"/>
          <w:szCs w:val="24"/>
          <w:lang w:val="en-GB"/>
        </w:rPr>
        <w:t>with Articles 2</w:t>
      </w:r>
      <w:r w:rsidRPr="00181BE3">
        <w:rPr>
          <w:rFonts w:ascii="Cambria" w:hAnsi="Cambria"/>
          <w:sz w:val="24"/>
          <w:szCs w:val="24"/>
          <w:lang w:val="en-GB"/>
        </w:rPr>
        <w:t>;</w:t>
      </w:r>
      <w:r w:rsidR="00A02904" w:rsidRPr="00181BE3">
        <w:rPr>
          <w:rFonts w:ascii="Cambria" w:hAnsi="Cambria"/>
          <w:sz w:val="24"/>
          <w:szCs w:val="24"/>
          <w:lang w:val="en-GB"/>
        </w:rPr>
        <w:t xml:space="preserve"> 7</w:t>
      </w:r>
      <w:r w:rsidRPr="00181BE3">
        <w:rPr>
          <w:rFonts w:ascii="Cambria" w:hAnsi="Cambria"/>
          <w:sz w:val="24"/>
          <w:szCs w:val="24"/>
          <w:lang w:val="en-GB"/>
        </w:rPr>
        <w:t>;</w:t>
      </w:r>
      <w:r w:rsidR="00A02904" w:rsidRPr="00181BE3">
        <w:rPr>
          <w:rFonts w:ascii="Cambria" w:hAnsi="Cambria"/>
          <w:sz w:val="24"/>
          <w:szCs w:val="24"/>
          <w:lang w:val="en-GB"/>
        </w:rPr>
        <w:t xml:space="preserve"> 8(1) in conjunction with Articles 8(2) and 91(2); as well as Articles 178(1) and 190(1)</w:t>
      </w:r>
      <w:r w:rsidRPr="00181BE3">
        <w:rPr>
          <w:rFonts w:ascii="Cambria" w:hAnsi="Cambria"/>
          <w:sz w:val="24"/>
          <w:szCs w:val="24"/>
          <w:lang w:val="en-GB"/>
        </w:rPr>
        <w:t xml:space="preserve"> of the Constitution of Poland;</w:t>
      </w:r>
    </w:p>
    <w:p w14:paraId="774CE8B9" w14:textId="3D92F872" w:rsidR="00A02904" w:rsidRPr="00181BE3" w:rsidRDefault="00C74B48" w:rsidP="00BB5B0B">
      <w:pPr>
        <w:pStyle w:val="Cytat"/>
        <w:numPr>
          <w:ilvl w:val="0"/>
          <w:numId w:val="2"/>
        </w:numPr>
        <w:contextualSpacing/>
        <w:rPr>
          <w:rFonts w:ascii="Cambria" w:hAnsi="Cambria"/>
          <w:sz w:val="24"/>
          <w:szCs w:val="24"/>
          <w:lang w:val="en-GB"/>
        </w:rPr>
      </w:pPr>
      <w:r w:rsidRPr="00181BE3">
        <w:rPr>
          <w:rFonts w:ascii="Cambria" w:hAnsi="Cambria"/>
          <w:sz w:val="24"/>
          <w:szCs w:val="24"/>
          <w:lang w:val="en-GB"/>
        </w:rPr>
        <w:t>t</w:t>
      </w:r>
      <w:r w:rsidR="00A02904" w:rsidRPr="00181BE3">
        <w:rPr>
          <w:rFonts w:ascii="Cambria" w:hAnsi="Cambria"/>
          <w:sz w:val="24"/>
          <w:szCs w:val="24"/>
          <w:lang w:val="en-GB"/>
        </w:rPr>
        <w:t xml:space="preserve">he second </w:t>
      </w:r>
      <w:r w:rsidRPr="00181BE3">
        <w:rPr>
          <w:rFonts w:ascii="Cambria" w:hAnsi="Cambria"/>
          <w:sz w:val="24"/>
          <w:szCs w:val="24"/>
          <w:lang w:val="en-GB"/>
        </w:rPr>
        <w:t>sub</w:t>
      </w:r>
      <w:r w:rsidR="00A02904" w:rsidRPr="00181BE3">
        <w:rPr>
          <w:rFonts w:ascii="Cambria" w:hAnsi="Cambria"/>
          <w:sz w:val="24"/>
          <w:szCs w:val="24"/>
          <w:lang w:val="en-GB"/>
        </w:rPr>
        <w:t xml:space="preserve">paragraph of Article 19(1) in conjunction with Article 2 of the TEU, understood in that it authorizes a court to review the independence of judges appointed by the President … and to review </w:t>
      </w:r>
      <w:r w:rsidRPr="00181BE3">
        <w:rPr>
          <w:rFonts w:ascii="Cambria" w:hAnsi="Cambria"/>
          <w:sz w:val="24"/>
          <w:szCs w:val="24"/>
          <w:lang w:val="en-GB"/>
        </w:rPr>
        <w:t>a</w:t>
      </w:r>
      <w:r w:rsidR="00A02904" w:rsidRPr="00181BE3">
        <w:rPr>
          <w:rFonts w:ascii="Cambria" w:hAnsi="Cambria"/>
          <w:sz w:val="24"/>
          <w:szCs w:val="24"/>
          <w:lang w:val="en-GB"/>
        </w:rPr>
        <w:t xml:space="preserve"> resolution of the National Council of the Judiciary </w:t>
      </w:r>
      <w:r w:rsidR="0028516B" w:rsidRPr="00181BE3">
        <w:rPr>
          <w:rFonts w:ascii="Cambria" w:hAnsi="Cambria"/>
          <w:sz w:val="24"/>
          <w:szCs w:val="24"/>
          <w:lang w:val="en-GB"/>
        </w:rPr>
        <w:t xml:space="preserve">[NCJ] </w:t>
      </w:r>
      <w:r w:rsidR="00A02904" w:rsidRPr="00181BE3">
        <w:rPr>
          <w:rFonts w:ascii="Cambria" w:hAnsi="Cambria"/>
          <w:sz w:val="24"/>
          <w:szCs w:val="24"/>
          <w:lang w:val="en-GB"/>
        </w:rPr>
        <w:t xml:space="preserve">regarding a request to the President … </w:t>
      </w:r>
      <w:r w:rsidR="002A2401" w:rsidRPr="00181BE3">
        <w:rPr>
          <w:rFonts w:ascii="Cambria" w:hAnsi="Cambria"/>
          <w:sz w:val="24"/>
          <w:szCs w:val="24"/>
          <w:lang w:val="en-GB"/>
        </w:rPr>
        <w:t>for the</w:t>
      </w:r>
      <w:r w:rsidR="00A02904" w:rsidRPr="00181BE3">
        <w:rPr>
          <w:rFonts w:ascii="Cambria" w:hAnsi="Cambria"/>
          <w:sz w:val="24"/>
          <w:szCs w:val="24"/>
          <w:lang w:val="en-GB"/>
        </w:rPr>
        <w:t xml:space="preserve"> appoint</w:t>
      </w:r>
      <w:r w:rsidR="002A2401" w:rsidRPr="00181BE3">
        <w:rPr>
          <w:rFonts w:ascii="Cambria" w:hAnsi="Cambria"/>
          <w:sz w:val="24"/>
          <w:szCs w:val="24"/>
          <w:lang w:val="en-GB"/>
        </w:rPr>
        <w:t>ment of</w:t>
      </w:r>
      <w:r w:rsidR="00A02904" w:rsidRPr="00181BE3">
        <w:rPr>
          <w:rFonts w:ascii="Cambria" w:hAnsi="Cambria"/>
          <w:sz w:val="24"/>
          <w:szCs w:val="24"/>
          <w:lang w:val="en-GB"/>
        </w:rPr>
        <w:t xml:space="preserve"> a judge</w:t>
      </w:r>
      <w:r w:rsidR="00BB57D1" w:rsidRPr="00181BE3">
        <w:rPr>
          <w:rFonts w:ascii="Cambria" w:hAnsi="Cambria"/>
          <w:sz w:val="24"/>
          <w:szCs w:val="24"/>
          <w:lang w:val="en-GB"/>
        </w:rPr>
        <w:t>—</w:t>
      </w:r>
      <w:r w:rsidR="00A02904" w:rsidRPr="00181BE3">
        <w:rPr>
          <w:rFonts w:ascii="Cambria" w:hAnsi="Cambria"/>
          <w:sz w:val="24"/>
          <w:szCs w:val="24"/>
          <w:lang w:val="en-GB"/>
        </w:rPr>
        <w:t>with Article 8(1) in conjunction with Articles 8(2), 90(1) and 91(2); as well as Articles 144(3)(17) and 186(1) of the Constitution</w:t>
      </w:r>
      <w:r w:rsidRPr="00181BE3">
        <w:rPr>
          <w:rFonts w:ascii="Cambria" w:hAnsi="Cambria"/>
          <w:sz w:val="24"/>
          <w:szCs w:val="24"/>
          <w:lang w:val="en-GB"/>
        </w:rPr>
        <w:t xml:space="preserve"> of Poland.</w:t>
      </w:r>
      <w:r w:rsidR="00A02904" w:rsidRPr="00181BE3">
        <w:rPr>
          <w:rFonts w:ascii="Cambria" w:hAnsi="Cambria"/>
          <w:sz w:val="24"/>
          <w:szCs w:val="24"/>
          <w:lang w:val="en-GB"/>
        </w:rPr>
        <w:t>”</w:t>
      </w:r>
      <w:r w:rsidR="000362DC" w:rsidRPr="00181BE3">
        <w:rPr>
          <w:rStyle w:val="Odwoanieprzypisudolnego"/>
          <w:rFonts w:ascii="Cambria" w:hAnsi="Cambria"/>
          <w:sz w:val="24"/>
          <w:szCs w:val="24"/>
          <w:lang w:val="en-GB"/>
        </w:rPr>
        <w:footnoteReference w:id="23"/>
      </w:r>
    </w:p>
    <w:p w14:paraId="3AF2B570" w14:textId="13A0CFA4" w:rsidR="002E27BF" w:rsidRPr="00181BE3" w:rsidRDefault="002E27BF" w:rsidP="002E27BF">
      <w:pPr>
        <w:pStyle w:val="NormalIndented"/>
        <w:rPr>
          <w:rFonts w:ascii="Cambria" w:hAnsi="Cambria"/>
          <w:sz w:val="24"/>
          <w:szCs w:val="24"/>
        </w:rPr>
      </w:pPr>
      <w:r w:rsidRPr="00181BE3">
        <w:rPr>
          <w:rFonts w:ascii="Cambria" w:hAnsi="Cambria"/>
          <w:sz w:val="24"/>
          <w:szCs w:val="24"/>
        </w:rPr>
        <w:t>In the first part of his motion the Prime Minister, somewhat echoing the notion present in Judge Bednarek’s judicial question, asked the Tribunal to rule on the constitutionality of the principle of primacy of EU law, derived from the first and second subparagraphs of Article 1 of the Treaty, read in conjunction with Article 4(3)—that is, the principle of sincere cooperation.</w:t>
      </w:r>
      <w:r w:rsidR="002C168B" w:rsidRPr="00181BE3">
        <w:rPr>
          <w:rFonts w:ascii="Cambria" w:hAnsi="Cambria"/>
          <w:sz w:val="24"/>
          <w:szCs w:val="24"/>
        </w:rPr>
        <w:t xml:space="preserve"> Although the principle of primacy is not explicitly formulated within any binding provision of EU law, it has been </w:t>
      </w:r>
      <w:r w:rsidR="006C26B2" w:rsidRPr="00181BE3">
        <w:rPr>
          <w:rFonts w:ascii="Cambria" w:hAnsi="Cambria"/>
          <w:sz w:val="24"/>
          <w:szCs w:val="24"/>
        </w:rPr>
        <w:t>laid out</w:t>
      </w:r>
      <w:r w:rsidR="002C168B" w:rsidRPr="00181BE3">
        <w:rPr>
          <w:rFonts w:ascii="Cambria" w:hAnsi="Cambria"/>
          <w:sz w:val="24"/>
          <w:szCs w:val="24"/>
        </w:rPr>
        <w:t xml:space="preserve"> in </w:t>
      </w:r>
      <w:r w:rsidR="00CA49F8" w:rsidRPr="00181BE3">
        <w:rPr>
          <w:rFonts w:ascii="Cambria" w:hAnsi="Cambria"/>
          <w:sz w:val="24"/>
          <w:szCs w:val="24"/>
        </w:rPr>
        <w:t>CJEU</w:t>
      </w:r>
      <w:r w:rsidR="002C168B" w:rsidRPr="00181BE3">
        <w:rPr>
          <w:rFonts w:ascii="Cambria" w:hAnsi="Cambria"/>
          <w:sz w:val="24"/>
          <w:szCs w:val="24"/>
        </w:rPr>
        <w:t xml:space="preserve"> case law nearly a decade ago. As the Court made clear in </w:t>
      </w:r>
      <w:r w:rsidR="002B29EA" w:rsidRPr="00181BE3">
        <w:rPr>
          <w:rFonts w:ascii="Cambria" w:hAnsi="Cambria"/>
          <w:sz w:val="24"/>
          <w:szCs w:val="24"/>
        </w:rPr>
        <w:t xml:space="preserve">the </w:t>
      </w:r>
      <w:proofErr w:type="spellStart"/>
      <w:r w:rsidR="002C168B" w:rsidRPr="00181BE3">
        <w:rPr>
          <w:rFonts w:ascii="Cambria" w:hAnsi="Cambria"/>
          <w:sz w:val="24"/>
          <w:szCs w:val="24"/>
        </w:rPr>
        <w:t>Simmenthal</w:t>
      </w:r>
      <w:proofErr w:type="spellEnd"/>
      <w:r w:rsidR="002B29EA" w:rsidRPr="00181BE3">
        <w:rPr>
          <w:rFonts w:ascii="Cambria" w:hAnsi="Cambria"/>
          <w:sz w:val="24"/>
          <w:szCs w:val="24"/>
        </w:rPr>
        <w:t xml:space="preserve"> case</w:t>
      </w:r>
      <w:r w:rsidR="001D0516" w:rsidRPr="00181BE3">
        <w:rPr>
          <w:rFonts w:ascii="Cambria" w:hAnsi="Cambria"/>
          <w:sz w:val="24"/>
          <w:szCs w:val="24"/>
        </w:rPr>
        <w:t>:</w:t>
      </w:r>
    </w:p>
    <w:p w14:paraId="2615DF6D" w14:textId="462D48BE" w:rsidR="002C168B" w:rsidRPr="00181BE3" w:rsidRDefault="002C168B" w:rsidP="002C168B">
      <w:pPr>
        <w:pStyle w:val="Cytat"/>
        <w:rPr>
          <w:rFonts w:ascii="Cambria" w:hAnsi="Cambria"/>
          <w:sz w:val="24"/>
          <w:szCs w:val="24"/>
          <w:lang w:val="en-GB"/>
        </w:rPr>
      </w:pPr>
      <w:r w:rsidRPr="00181BE3">
        <w:rPr>
          <w:rFonts w:ascii="Cambria" w:hAnsi="Cambria"/>
          <w:sz w:val="24"/>
          <w:szCs w:val="24"/>
          <w:lang w:val="en-GB"/>
        </w:rPr>
        <w:t xml:space="preserve">“a national court which is called upon, within the limits of its jurisdiction, to apply provisions of Community law is under a duty to give full effect to those provisions, if necessary refusing of its own motion to apply any conflicting provision of national </w:t>
      </w:r>
      <w:r w:rsidRPr="00181BE3">
        <w:rPr>
          <w:rFonts w:ascii="Cambria" w:hAnsi="Cambria"/>
          <w:sz w:val="24"/>
          <w:szCs w:val="24"/>
          <w:lang w:val="en-GB"/>
        </w:rPr>
        <w:lastRenderedPageBreak/>
        <w:t>legislation, even if adopted subsequently, and it is not necessary for the court to request or await the prior setting aside of such provisions by legislative or other constitutional means”</w:t>
      </w:r>
      <w:r w:rsidRPr="00181BE3">
        <w:rPr>
          <w:rStyle w:val="Odwoanieprzypisudolnego"/>
          <w:rFonts w:ascii="Cambria" w:hAnsi="Cambria"/>
          <w:sz w:val="24"/>
          <w:szCs w:val="24"/>
          <w:lang w:val="en-GB"/>
        </w:rPr>
        <w:footnoteReference w:id="24"/>
      </w:r>
    </w:p>
    <w:p w14:paraId="79B14C0E" w14:textId="62932E9F" w:rsidR="0085544A" w:rsidRPr="00181BE3" w:rsidRDefault="00B747CD" w:rsidP="00CA49F8">
      <w:pPr>
        <w:rPr>
          <w:rFonts w:ascii="Cambria" w:hAnsi="Cambria"/>
          <w:sz w:val="24"/>
          <w:szCs w:val="24"/>
          <w:lang w:val="en-GB"/>
        </w:rPr>
      </w:pPr>
      <w:r w:rsidRPr="00181BE3">
        <w:rPr>
          <w:rFonts w:ascii="Cambria" w:hAnsi="Cambria"/>
          <w:sz w:val="24"/>
          <w:szCs w:val="24"/>
          <w:lang w:val="en-GB"/>
        </w:rPr>
        <w:t xml:space="preserve">Furthermore, whether </w:t>
      </w:r>
      <w:r w:rsidR="002C168B" w:rsidRPr="00181BE3">
        <w:rPr>
          <w:rFonts w:ascii="Cambria" w:hAnsi="Cambria"/>
          <w:sz w:val="24"/>
          <w:szCs w:val="24"/>
          <w:lang w:val="en-GB"/>
        </w:rPr>
        <w:t xml:space="preserve">an EU law measure </w:t>
      </w:r>
      <w:r w:rsidRPr="00181BE3">
        <w:rPr>
          <w:rFonts w:ascii="Cambria" w:hAnsi="Cambria"/>
          <w:sz w:val="24"/>
          <w:szCs w:val="24"/>
          <w:lang w:val="en-GB"/>
        </w:rPr>
        <w:t xml:space="preserve">is valid </w:t>
      </w:r>
      <w:r w:rsidR="002C168B" w:rsidRPr="00181BE3">
        <w:rPr>
          <w:rFonts w:ascii="Cambria" w:hAnsi="Cambria"/>
          <w:sz w:val="24"/>
          <w:szCs w:val="24"/>
          <w:lang w:val="en-GB"/>
        </w:rPr>
        <w:t xml:space="preserve">within a member state—as noted by the </w:t>
      </w:r>
      <w:r w:rsidR="00CA49F8" w:rsidRPr="00181BE3">
        <w:rPr>
          <w:rFonts w:ascii="Cambria" w:hAnsi="Cambria"/>
          <w:sz w:val="24"/>
          <w:szCs w:val="24"/>
          <w:lang w:val="en-GB"/>
        </w:rPr>
        <w:t>CJEU</w:t>
      </w:r>
      <w:r w:rsidR="002C168B" w:rsidRPr="00181BE3">
        <w:rPr>
          <w:rFonts w:ascii="Cambria" w:hAnsi="Cambria"/>
          <w:sz w:val="24"/>
          <w:szCs w:val="24"/>
          <w:lang w:val="en-GB"/>
        </w:rPr>
        <w:t xml:space="preserve"> in </w:t>
      </w:r>
      <w:r w:rsidRPr="00181BE3">
        <w:rPr>
          <w:rFonts w:ascii="Cambria" w:hAnsi="Cambria"/>
          <w:sz w:val="24"/>
          <w:szCs w:val="24"/>
          <w:lang w:val="en-GB"/>
        </w:rPr>
        <w:t xml:space="preserve">the </w:t>
      </w:r>
      <w:r w:rsidR="002C168B" w:rsidRPr="00181BE3">
        <w:rPr>
          <w:rFonts w:ascii="Cambria" w:hAnsi="Cambria"/>
          <w:sz w:val="24"/>
          <w:szCs w:val="24"/>
          <w:lang w:val="en-GB"/>
        </w:rPr>
        <w:t xml:space="preserve">Internationale </w:t>
      </w:r>
      <w:proofErr w:type="spellStart"/>
      <w:r w:rsidR="002C168B" w:rsidRPr="00181BE3">
        <w:rPr>
          <w:rFonts w:ascii="Cambria" w:hAnsi="Cambria"/>
          <w:sz w:val="24"/>
          <w:szCs w:val="24"/>
          <w:lang w:val="en-GB"/>
        </w:rPr>
        <w:t>Handelsgesellschaft</w:t>
      </w:r>
      <w:proofErr w:type="spellEnd"/>
      <w:r w:rsidRPr="00181BE3">
        <w:rPr>
          <w:rFonts w:ascii="Cambria" w:hAnsi="Cambria"/>
          <w:sz w:val="24"/>
          <w:szCs w:val="24"/>
          <w:lang w:val="en-GB"/>
        </w:rPr>
        <w:t xml:space="preserve"> case</w:t>
      </w:r>
      <w:r w:rsidR="002C168B" w:rsidRPr="00181BE3">
        <w:rPr>
          <w:rFonts w:ascii="Cambria" w:hAnsi="Cambria"/>
          <w:sz w:val="24"/>
          <w:szCs w:val="24"/>
          <w:lang w:val="en-GB"/>
        </w:rPr>
        <w:t xml:space="preserve">—cannot be affected by allegations that it runs counter to either fundamental rights as formulated by the </w:t>
      </w:r>
      <w:r w:rsidRPr="00181BE3">
        <w:rPr>
          <w:rFonts w:ascii="Cambria" w:hAnsi="Cambria"/>
          <w:sz w:val="24"/>
          <w:szCs w:val="24"/>
          <w:lang w:val="en-GB"/>
        </w:rPr>
        <w:t>C</w:t>
      </w:r>
      <w:r w:rsidR="002C168B" w:rsidRPr="00181BE3">
        <w:rPr>
          <w:rFonts w:ascii="Cambria" w:hAnsi="Cambria"/>
          <w:sz w:val="24"/>
          <w:szCs w:val="24"/>
          <w:lang w:val="en-GB"/>
        </w:rPr>
        <w:t>onstitution of that state</w:t>
      </w:r>
      <w:r w:rsidR="0029647C" w:rsidRPr="00181BE3">
        <w:rPr>
          <w:rFonts w:ascii="Cambria" w:hAnsi="Cambria"/>
          <w:sz w:val="24"/>
          <w:szCs w:val="24"/>
          <w:lang w:val="en-GB"/>
        </w:rPr>
        <w:t>,</w:t>
      </w:r>
      <w:r w:rsidR="002C168B" w:rsidRPr="00181BE3">
        <w:rPr>
          <w:rFonts w:ascii="Cambria" w:hAnsi="Cambria"/>
          <w:sz w:val="24"/>
          <w:szCs w:val="24"/>
          <w:lang w:val="en-GB"/>
        </w:rPr>
        <w:t xml:space="preserve"> or the principles of its constitutional structure.</w:t>
      </w:r>
      <w:r w:rsidR="002C168B" w:rsidRPr="00181BE3">
        <w:rPr>
          <w:rStyle w:val="Odwoanieprzypisudolnego"/>
          <w:rFonts w:ascii="Cambria" w:hAnsi="Cambria"/>
          <w:sz w:val="24"/>
          <w:szCs w:val="24"/>
          <w:lang w:val="en-GB"/>
        </w:rPr>
        <w:footnoteReference w:id="25"/>
      </w:r>
      <w:r w:rsidR="0089554C" w:rsidRPr="00181BE3">
        <w:rPr>
          <w:rFonts w:ascii="Cambria" w:hAnsi="Cambria"/>
          <w:sz w:val="24"/>
          <w:szCs w:val="24"/>
          <w:lang w:val="en-GB"/>
        </w:rPr>
        <w:t xml:space="preserve"> The Polish Supreme Court has relied on such notions to disqualify judges appointed by the National Council of the Judiciary</w:t>
      </w:r>
      <w:r w:rsidR="0029647C" w:rsidRPr="00181BE3">
        <w:rPr>
          <w:rFonts w:ascii="Cambria" w:hAnsi="Cambria"/>
          <w:sz w:val="24"/>
          <w:szCs w:val="24"/>
          <w:lang w:val="en-GB"/>
        </w:rPr>
        <w:t xml:space="preserve"> under the new regulations</w:t>
      </w:r>
      <w:r w:rsidR="0089554C" w:rsidRPr="00181BE3">
        <w:rPr>
          <w:rFonts w:ascii="Cambria" w:hAnsi="Cambria"/>
          <w:sz w:val="24"/>
          <w:szCs w:val="24"/>
          <w:lang w:val="en-GB"/>
        </w:rPr>
        <w:t xml:space="preserve">, </w:t>
      </w:r>
      <w:r w:rsidR="0029647C" w:rsidRPr="00181BE3">
        <w:rPr>
          <w:rFonts w:ascii="Cambria" w:hAnsi="Cambria"/>
          <w:sz w:val="24"/>
          <w:szCs w:val="24"/>
          <w:lang w:val="en-GB"/>
        </w:rPr>
        <w:t>most notably</w:t>
      </w:r>
      <w:r w:rsidR="0089554C" w:rsidRPr="00181BE3">
        <w:rPr>
          <w:rFonts w:ascii="Cambria" w:hAnsi="Cambria"/>
          <w:sz w:val="24"/>
          <w:szCs w:val="24"/>
          <w:lang w:val="en-GB"/>
        </w:rPr>
        <w:t xml:space="preserve"> in the landmark Resolution of </w:t>
      </w:r>
      <w:r w:rsidR="00EF573D" w:rsidRPr="00181BE3">
        <w:rPr>
          <w:rFonts w:ascii="Cambria" w:hAnsi="Cambria"/>
          <w:sz w:val="24"/>
          <w:szCs w:val="24"/>
          <w:lang w:val="en-GB"/>
        </w:rPr>
        <w:t xml:space="preserve">the </w:t>
      </w:r>
      <w:r w:rsidR="0089554C" w:rsidRPr="00181BE3">
        <w:rPr>
          <w:rFonts w:ascii="Cambria" w:hAnsi="Cambria"/>
          <w:sz w:val="24"/>
          <w:szCs w:val="24"/>
          <w:lang w:val="en-GB"/>
        </w:rPr>
        <w:t>Three Chambers</w:t>
      </w:r>
      <w:r w:rsidR="00F724A8" w:rsidRPr="00181BE3">
        <w:rPr>
          <w:rFonts w:ascii="Cambria" w:hAnsi="Cambria"/>
          <w:sz w:val="24"/>
          <w:szCs w:val="24"/>
          <w:lang w:val="en-GB"/>
        </w:rPr>
        <w:t>.</w:t>
      </w:r>
      <w:r w:rsidR="0089554C" w:rsidRPr="00181BE3">
        <w:rPr>
          <w:rStyle w:val="Odwoanieprzypisudolnego"/>
          <w:rFonts w:ascii="Cambria" w:hAnsi="Cambria"/>
          <w:sz w:val="24"/>
          <w:szCs w:val="24"/>
          <w:lang w:val="en-GB"/>
        </w:rPr>
        <w:footnoteReference w:id="26"/>
      </w:r>
      <w:r w:rsidR="002C168B" w:rsidRPr="00181BE3">
        <w:rPr>
          <w:rFonts w:ascii="Cambria" w:hAnsi="Cambria"/>
          <w:sz w:val="24"/>
          <w:szCs w:val="24"/>
          <w:lang w:val="en-GB"/>
        </w:rPr>
        <w:t xml:space="preserve"> </w:t>
      </w:r>
      <w:r w:rsidR="00F724A8" w:rsidRPr="00181BE3">
        <w:rPr>
          <w:rFonts w:ascii="Cambria" w:hAnsi="Cambria"/>
          <w:sz w:val="24"/>
          <w:szCs w:val="24"/>
          <w:lang w:val="en-GB"/>
        </w:rPr>
        <w:t>However, the</w:t>
      </w:r>
      <w:r w:rsidRPr="00181BE3">
        <w:rPr>
          <w:rFonts w:ascii="Cambria" w:hAnsi="Cambria"/>
          <w:sz w:val="24"/>
          <w:szCs w:val="24"/>
          <w:lang w:val="en-GB"/>
        </w:rPr>
        <w:t xml:space="preserve"> Prime Minister found this </w:t>
      </w:r>
      <w:r w:rsidR="00206FC2" w:rsidRPr="00181BE3">
        <w:rPr>
          <w:rFonts w:ascii="Cambria" w:hAnsi="Cambria"/>
          <w:sz w:val="24"/>
          <w:szCs w:val="24"/>
          <w:lang w:val="en-GB"/>
        </w:rPr>
        <w:t xml:space="preserve">age-old </w:t>
      </w:r>
      <w:r w:rsidRPr="00181BE3">
        <w:rPr>
          <w:rFonts w:ascii="Cambria" w:hAnsi="Cambria"/>
          <w:sz w:val="24"/>
          <w:szCs w:val="24"/>
          <w:lang w:val="en-GB"/>
        </w:rPr>
        <w:t>principle</w:t>
      </w:r>
      <w:r w:rsidR="00206FC2" w:rsidRPr="00181BE3">
        <w:rPr>
          <w:rFonts w:ascii="Cambria" w:hAnsi="Cambria"/>
          <w:sz w:val="24"/>
          <w:szCs w:val="24"/>
          <w:lang w:val="en-GB"/>
        </w:rPr>
        <w:t xml:space="preserve"> to “raise wide-reaching and justified constitutional doubts”</w:t>
      </w:r>
      <w:r w:rsidR="00206FC2" w:rsidRPr="00181BE3">
        <w:rPr>
          <w:rStyle w:val="Odwoanieprzypisudolnego"/>
          <w:rFonts w:ascii="Cambria" w:hAnsi="Cambria"/>
          <w:sz w:val="24"/>
          <w:szCs w:val="24"/>
          <w:lang w:val="en-GB"/>
        </w:rPr>
        <w:footnoteReference w:id="27"/>
      </w:r>
      <w:r w:rsidR="00E23F0A" w:rsidRPr="00181BE3">
        <w:rPr>
          <w:rFonts w:ascii="Cambria" w:hAnsi="Cambria"/>
          <w:sz w:val="24"/>
          <w:szCs w:val="24"/>
          <w:lang w:val="en-GB"/>
        </w:rPr>
        <w:t xml:space="preserve"> </w:t>
      </w:r>
      <w:r w:rsidR="00BB7E30" w:rsidRPr="00181BE3">
        <w:rPr>
          <w:rFonts w:ascii="Cambria" w:hAnsi="Cambria"/>
          <w:sz w:val="24"/>
          <w:szCs w:val="24"/>
          <w:lang w:val="en-GB"/>
        </w:rPr>
        <w:t>and challenged</w:t>
      </w:r>
      <w:r w:rsidR="00E23F0A" w:rsidRPr="00181BE3">
        <w:rPr>
          <w:rFonts w:ascii="Cambria" w:hAnsi="Cambria"/>
          <w:sz w:val="24"/>
          <w:szCs w:val="24"/>
          <w:lang w:val="en-GB"/>
        </w:rPr>
        <w:t xml:space="preserve"> </w:t>
      </w:r>
      <w:r w:rsidR="0089554C" w:rsidRPr="00181BE3">
        <w:rPr>
          <w:rFonts w:ascii="Cambria" w:hAnsi="Cambria"/>
          <w:sz w:val="24"/>
          <w:szCs w:val="24"/>
          <w:lang w:val="en-GB"/>
        </w:rPr>
        <w:t>its</w:t>
      </w:r>
      <w:r w:rsidR="00E23F0A" w:rsidRPr="00181BE3">
        <w:rPr>
          <w:rFonts w:ascii="Cambria" w:hAnsi="Cambria"/>
          <w:sz w:val="24"/>
          <w:szCs w:val="24"/>
          <w:lang w:val="en-GB"/>
        </w:rPr>
        <w:t xml:space="preserve"> validity under the same </w:t>
      </w:r>
      <w:r w:rsidR="00F724A8" w:rsidRPr="00181BE3">
        <w:rPr>
          <w:rFonts w:ascii="Cambria" w:hAnsi="Cambria"/>
          <w:sz w:val="24"/>
          <w:szCs w:val="24"/>
          <w:lang w:val="en-GB"/>
        </w:rPr>
        <w:t xml:space="preserve">Articles </w:t>
      </w:r>
      <w:r w:rsidR="00E23F0A" w:rsidRPr="00181BE3">
        <w:rPr>
          <w:rFonts w:ascii="Cambria" w:hAnsi="Cambria"/>
          <w:sz w:val="24"/>
          <w:szCs w:val="24"/>
          <w:lang w:val="en-GB"/>
        </w:rPr>
        <w:t xml:space="preserve">of the Constitution as </w:t>
      </w:r>
      <w:r w:rsidR="0089554C" w:rsidRPr="00181BE3">
        <w:rPr>
          <w:rFonts w:ascii="Cambria" w:hAnsi="Cambria"/>
          <w:sz w:val="24"/>
          <w:szCs w:val="24"/>
          <w:lang w:val="en-GB"/>
        </w:rPr>
        <w:t>Justice</w:t>
      </w:r>
      <w:r w:rsidR="00E23F0A" w:rsidRPr="00181BE3">
        <w:rPr>
          <w:rFonts w:ascii="Cambria" w:hAnsi="Cambria"/>
          <w:sz w:val="24"/>
          <w:szCs w:val="24"/>
          <w:lang w:val="en-GB"/>
        </w:rPr>
        <w:t xml:space="preserve"> Bednarek, </w:t>
      </w:r>
      <w:r w:rsidR="00202C15" w:rsidRPr="00181BE3">
        <w:rPr>
          <w:rFonts w:ascii="Cambria" w:hAnsi="Cambria"/>
          <w:sz w:val="24"/>
          <w:szCs w:val="24"/>
          <w:lang w:val="en-GB"/>
        </w:rPr>
        <w:t>additionally referring</w:t>
      </w:r>
      <w:r w:rsidR="00E23F0A" w:rsidRPr="00181BE3">
        <w:rPr>
          <w:rFonts w:ascii="Cambria" w:hAnsi="Cambria"/>
          <w:sz w:val="24"/>
          <w:szCs w:val="24"/>
          <w:lang w:val="en-GB"/>
        </w:rPr>
        <w:t xml:space="preserve"> </w:t>
      </w:r>
      <w:r w:rsidR="00F724A8" w:rsidRPr="00181BE3">
        <w:rPr>
          <w:rFonts w:ascii="Cambria" w:hAnsi="Cambria"/>
          <w:sz w:val="24"/>
          <w:szCs w:val="24"/>
          <w:lang w:val="en-GB"/>
        </w:rPr>
        <w:t xml:space="preserve">to the provision </w:t>
      </w:r>
      <w:r w:rsidR="00202C15" w:rsidRPr="00181BE3">
        <w:rPr>
          <w:rFonts w:ascii="Cambria" w:hAnsi="Cambria"/>
          <w:sz w:val="24"/>
          <w:szCs w:val="24"/>
          <w:lang w:val="en-GB"/>
        </w:rPr>
        <w:t xml:space="preserve">of </w:t>
      </w:r>
      <w:r w:rsidR="00CB4BFE" w:rsidRPr="00181BE3">
        <w:rPr>
          <w:rFonts w:ascii="Cambria" w:hAnsi="Cambria"/>
          <w:sz w:val="24"/>
          <w:szCs w:val="24"/>
          <w:lang w:val="en-GB"/>
        </w:rPr>
        <w:t>Article 178(1)—</w:t>
      </w:r>
      <w:r w:rsidR="00202C15" w:rsidRPr="00181BE3">
        <w:rPr>
          <w:rFonts w:ascii="Cambria" w:hAnsi="Cambria"/>
          <w:sz w:val="24"/>
          <w:szCs w:val="24"/>
          <w:lang w:val="en-GB"/>
        </w:rPr>
        <w:t xml:space="preserve">that is </w:t>
      </w:r>
      <w:r w:rsidR="00CB4BFE" w:rsidRPr="00181BE3">
        <w:rPr>
          <w:rFonts w:ascii="Cambria" w:hAnsi="Cambria"/>
          <w:sz w:val="24"/>
          <w:szCs w:val="24"/>
          <w:lang w:val="en-GB"/>
        </w:rPr>
        <w:t>the principle of subordination of the judges to</w:t>
      </w:r>
      <w:r w:rsidR="00992181" w:rsidRPr="00181BE3">
        <w:rPr>
          <w:rFonts w:ascii="Cambria" w:hAnsi="Cambria"/>
          <w:sz w:val="24"/>
          <w:szCs w:val="24"/>
          <w:lang w:val="en-GB"/>
        </w:rPr>
        <w:t xml:space="preserve"> the</w:t>
      </w:r>
      <w:r w:rsidR="00CB4BFE" w:rsidRPr="00181BE3">
        <w:rPr>
          <w:rFonts w:ascii="Cambria" w:hAnsi="Cambria"/>
          <w:sz w:val="24"/>
          <w:szCs w:val="24"/>
          <w:lang w:val="en-GB"/>
        </w:rPr>
        <w:t xml:space="preserve"> statutes and the Constitution.</w:t>
      </w:r>
      <w:r w:rsidR="00FC512A" w:rsidRPr="00181BE3">
        <w:rPr>
          <w:rFonts w:ascii="Cambria" w:hAnsi="Cambria"/>
          <w:sz w:val="24"/>
          <w:szCs w:val="24"/>
          <w:lang w:val="en-GB"/>
        </w:rPr>
        <w:t xml:space="preserve"> He </w:t>
      </w:r>
      <w:r w:rsidR="0085544A" w:rsidRPr="00181BE3">
        <w:rPr>
          <w:rFonts w:ascii="Cambria" w:hAnsi="Cambria"/>
          <w:sz w:val="24"/>
          <w:szCs w:val="24"/>
          <w:lang w:val="en-GB"/>
        </w:rPr>
        <w:t>further questioned the provision of Article 19(1) of the TEU, which states that “Member States shall provide remedies sufficient to ensure effective legal protection in the fields covered by Union law.”</w:t>
      </w:r>
      <w:r w:rsidR="00DA25BD" w:rsidRPr="00181BE3">
        <w:rPr>
          <w:rStyle w:val="Odwoanieprzypisudolnego"/>
          <w:rFonts w:ascii="Cambria" w:hAnsi="Cambria"/>
          <w:sz w:val="24"/>
          <w:szCs w:val="24"/>
          <w:lang w:val="en-GB"/>
        </w:rPr>
        <w:footnoteReference w:id="28"/>
      </w:r>
      <w:r w:rsidR="00D51F0E" w:rsidRPr="00181BE3">
        <w:rPr>
          <w:rFonts w:ascii="Cambria" w:hAnsi="Cambria"/>
          <w:sz w:val="24"/>
          <w:szCs w:val="24"/>
          <w:lang w:val="en-GB"/>
        </w:rPr>
        <w:t xml:space="preserve"> </w:t>
      </w:r>
      <w:r w:rsidR="002831BF" w:rsidRPr="00181BE3">
        <w:rPr>
          <w:rFonts w:ascii="Cambria" w:hAnsi="Cambria"/>
          <w:sz w:val="24"/>
          <w:szCs w:val="24"/>
          <w:lang w:val="en-GB"/>
        </w:rPr>
        <w:t xml:space="preserve">The Prime Minister argued it should be read in </w:t>
      </w:r>
      <w:r w:rsidR="00D51F0E" w:rsidRPr="00181BE3">
        <w:rPr>
          <w:rFonts w:ascii="Cambria" w:hAnsi="Cambria"/>
          <w:sz w:val="24"/>
          <w:szCs w:val="24"/>
          <w:lang w:val="en-GB"/>
        </w:rPr>
        <w:t>conjunction with both the principle of sincere cooperation contained in Article 4(3)</w:t>
      </w:r>
      <w:r w:rsidR="00E23F0A" w:rsidRPr="00181BE3">
        <w:rPr>
          <w:rFonts w:ascii="Cambria" w:hAnsi="Cambria"/>
          <w:sz w:val="24"/>
          <w:szCs w:val="24"/>
          <w:lang w:val="en-GB"/>
        </w:rPr>
        <w:t xml:space="preserve"> of TEU</w:t>
      </w:r>
      <w:r w:rsidR="00D51F0E" w:rsidRPr="00181BE3">
        <w:rPr>
          <w:rFonts w:ascii="Cambria" w:hAnsi="Cambria"/>
          <w:sz w:val="24"/>
          <w:szCs w:val="24"/>
          <w:lang w:val="en-GB"/>
        </w:rPr>
        <w:t xml:space="preserve">, as well as with </w:t>
      </w:r>
      <w:r w:rsidR="00E23F0A" w:rsidRPr="00181BE3">
        <w:rPr>
          <w:rFonts w:ascii="Cambria" w:hAnsi="Cambria"/>
          <w:sz w:val="24"/>
          <w:szCs w:val="24"/>
          <w:lang w:val="en-GB"/>
        </w:rPr>
        <w:t xml:space="preserve">the principle of rule of law contained in Article 2 of the Treaty. The </w:t>
      </w:r>
      <w:r w:rsidR="00CA49F8" w:rsidRPr="00181BE3">
        <w:rPr>
          <w:rFonts w:ascii="Cambria" w:hAnsi="Cambria"/>
          <w:sz w:val="24"/>
          <w:szCs w:val="24"/>
          <w:lang w:val="en-GB"/>
        </w:rPr>
        <w:t>CJEU</w:t>
      </w:r>
      <w:r w:rsidR="00E23F0A" w:rsidRPr="00181BE3">
        <w:rPr>
          <w:rFonts w:ascii="Cambria" w:hAnsi="Cambria"/>
          <w:sz w:val="24"/>
          <w:szCs w:val="24"/>
          <w:lang w:val="en-GB"/>
        </w:rPr>
        <w:t xml:space="preserve"> derived from these provisions</w:t>
      </w:r>
      <w:r w:rsidR="000C6059" w:rsidRPr="00181BE3">
        <w:rPr>
          <w:rFonts w:ascii="Cambria" w:hAnsi="Cambria"/>
          <w:sz w:val="24"/>
          <w:szCs w:val="24"/>
          <w:lang w:val="en-GB"/>
        </w:rPr>
        <w:t>, among others,</w:t>
      </w:r>
      <w:r w:rsidR="00E23F0A" w:rsidRPr="00181BE3">
        <w:rPr>
          <w:rFonts w:ascii="Cambria" w:hAnsi="Cambria"/>
          <w:sz w:val="24"/>
          <w:szCs w:val="24"/>
          <w:lang w:val="en-GB"/>
        </w:rPr>
        <w:t xml:space="preserve"> the principle of judicial independence</w:t>
      </w:r>
      <w:r w:rsidR="00791ECD" w:rsidRPr="00181BE3">
        <w:rPr>
          <w:rFonts w:ascii="Cambria" w:hAnsi="Cambria"/>
          <w:sz w:val="24"/>
          <w:szCs w:val="24"/>
          <w:lang w:val="en-GB"/>
        </w:rPr>
        <w:t xml:space="preserve"> </w:t>
      </w:r>
      <w:r w:rsidR="000C6059" w:rsidRPr="00181BE3">
        <w:rPr>
          <w:rFonts w:ascii="Cambria" w:hAnsi="Cambria"/>
          <w:sz w:val="24"/>
          <w:szCs w:val="24"/>
          <w:lang w:val="en-GB"/>
        </w:rPr>
        <w:t>as well as the principle of effective judicial protection</w:t>
      </w:r>
      <w:r w:rsidR="00CA49F8" w:rsidRPr="00181BE3">
        <w:rPr>
          <w:rFonts w:ascii="Cambria" w:hAnsi="Cambria"/>
          <w:sz w:val="24"/>
          <w:szCs w:val="24"/>
          <w:lang w:val="en-GB"/>
        </w:rPr>
        <w:t xml:space="preserve">, which again—were used to question the legality of the appointment of </w:t>
      </w:r>
      <w:r w:rsidR="002831BF" w:rsidRPr="00181BE3">
        <w:rPr>
          <w:rFonts w:ascii="Cambria" w:hAnsi="Cambria"/>
          <w:sz w:val="24"/>
          <w:szCs w:val="24"/>
          <w:lang w:val="en-GB"/>
        </w:rPr>
        <w:t xml:space="preserve">new </w:t>
      </w:r>
      <w:r w:rsidR="00CA49F8" w:rsidRPr="00181BE3">
        <w:rPr>
          <w:rFonts w:ascii="Cambria" w:hAnsi="Cambria"/>
          <w:sz w:val="24"/>
          <w:szCs w:val="24"/>
          <w:lang w:val="en-GB"/>
        </w:rPr>
        <w:t>Judges</w:t>
      </w:r>
      <w:r w:rsidR="002831BF" w:rsidRPr="00181BE3">
        <w:rPr>
          <w:rFonts w:ascii="Cambria" w:hAnsi="Cambria"/>
          <w:sz w:val="24"/>
          <w:szCs w:val="24"/>
          <w:lang w:val="en-GB"/>
        </w:rPr>
        <w:t xml:space="preserve"> in Poland</w:t>
      </w:r>
      <w:r w:rsidR="00CA49F8" w:rsidRPr="00181BE3">
        <w:rPr>
          <w:rFonts w:ascii="Cambria" w:hAnsi="Cambria"/>
          <w:sz w:val="24"/>
          <w:szCs w:val="24"/>
          <w:lang w:val="en-GB"/>
        </w:rPr>
        <w:t xml:space="preserve">, even despite </w:t>
      </w:r>
      <w:r w:rsidR="00D10EA1" w:rsidRPr="00181BE3">
        <w:rPr>
          <w:rFonts w:ascii="Cambria" w:hAnsi="Cambria"/>
          <w:sz w:val="24"/>
          <w:szCs w:val="24"/>
          <w:lang w:val="en-GB"/>
        </w:rPr>
        <w:t>the</w:t>
      </w:r>
      <w:r w:rsidR="00CA49F8" w:rsidRPr="00181BE3">
        <w:rPr>
          <w:rFonts w:ascii="Cambria" w:hAnsi="Cambria"/>
          <w:sz w:val="24"/>
          <w:szCs w:val="24"/>
          <w:lang w:val="en-GB"/>
        </w:rPr>
        <w:t xml:space="preserve"> Constitutional Tribunal</w:t>
      </w:r>
      <w:r w:rsidR="00D10EA1" w:rsidRPr="00181BE3">
        <w:rPr>
          <w:rFonts w:ascii="Cambria" w:hAnsi="Cambria"/>
          <w:sz w:val="24"/>
          <w:szCs w:val="24"/>
          <w:lang w:val="en-GB"/>
        </w:rPr>
        <w:t>’s rulings</w:t>
      </w:r>
      <w:r w:rsidR="00CA49F8" w:rsidRPr="00181BE3">
        <w:rPr>
          <w:rFonts w:ascii="Cambria" w:hAnsi="Cambria"/>
          <w:sz w:val="24"/>
          <w:szCs w:val="24"/>
          <w:lang w:val="en-GB"/>
        </w:rPr>
        <w:t xml:space="preserve"> to the contrary (e.g. case P 7/20)</w:t>
      </w:r>
      <w:r w:rsidR="00CB4BFE" w:rsidRPr="00181BE3">
        <w:rPr>
          <w:rFonts w:ascii="Cambria" w:hAnsi="Cambria"/>
          <w:sz w:val="24"/>
          <w:szCs w:val="24"/>
          <w:lang w:val="en-GB"/>
        </w:rPr>
        <w:t>.</w:t>
      </w:r>
      <w:r w:rsidR="000C6059" w:rsidRPr="00181BE3">
        <w:rPr>
          <w:rStyle w:val="Odwoanieprzypisudolnego"/>
          <w:rFonts w:ascii="Cambria" w:hAnsi="Cambria"/>
          <w:sz w:val="24"/>
          <w:szCs w:val="24"/>
        </w:rPr>
        <w:footnoteReference w:id="29"/>
      </w:r>
      <w:r w:rsidR="00502CCE" w:rsidRPr="00181BE3">
        <w:rPr>
          <w:rFonts w:ascii="Cambria" w:hAnsi="Cambria"/>
          <w:sz w:val="24"/>
          <w:szCs w:val="24"/>
          <w:lang w:val="en-GB"/>
        </w:rPr>
        <w:t xml:space="preserve"> The Prime Minister argued—among the usual contentions—that such rules violate: Article 190(1)—the principle of general applicability of the Constitutional Tribunal’s rulings</w:t>
      </w:r>
      <w:r w:rsidR="00CA49F8" w:rsidRPr="00181BE3">
        <w:rPr>
          <w:rFonts w:ascii="Cambria" w:hAnsi="Cambria"/>
          <w:sz w:val="24"/>
          <w:szCs w:val="24"/>
          <w:lang w:val="en-GB"/>
        </w:rPr>
        <w:t>; Article 144(3)(17)—establishing the presidential prerogative of judicial appointments; and Article 186(1)—formulating the NCJ’s role in safeguarding the independence of courts and judges.</w:t>
      </w:r>
    </w:p>
    <w:p w14:paraId="0FC20171" w14:textId="33FDF587" w:rsidR="009C33EF" w:rsidRPr="00181BE3" w:rsidRDefault="00CA49F8" w:rsidP="002E27BF">
      <w:pPr>
        <w:pStyle w:val="NormalIndented"/>
        <w:rPr>
          <w:rFonts w:ascii="Cambria" w:hAnsi="Cambria"/>
          <w:sz w:val="24"/>
          <w:szCs w:val="24"/>
        </w:rPr>
      </w:pPr>
      <w:r w:rsidRPr="00181BE3">
        <w:rPr>
          <w:rFonts w:ascii="Cambria" w:hAnsi="Cambria"/>
          <w:sz w:val="24"/>
          <w:szCs w:val="24"/>
        </w:rPr>
        <w:lastRenderedPageBreak/>
        <w:t xml:space="preserve">In case K 3/21 the Prime Minister was supported by </w:t>
      </w:r>
      <w:r w:rsidR="00F864D7" w:rsidRPr="00181BE3">
        <w:rPr>
          <w:rFonts w:ascii="Cambria" w:hAnsi="Cambria"/>
          <w:sz w:val="24"/>
          <w:szCs w:val="24"/>
        </w:rPr>
        <w:t xml:space="preserve">the President, </w:t>
      </w:r>
      <w:r w:rsidRPr="00181BE3">
        <w:rPr>
          <w:rFonts w:ascii="Cambria" w:hAnsi="Cambria"/>
          <w:sz w:val="24"/>
          <w:szCs w:val="24"/>
        </w:rPr>
        <w:t>the Prosecutor General, the Minister of Foreign Affairs,</w:t>
      </w:r>
      <w:r w:rsidR="000A0485" w:rsidRPr="00181BE3">
        <w:rPr>
          <w:rFonts w:ascii="Cambria" w:hAnsi="Cambria"/>
          <w:sz w:val="24"/>
          <w:szCs w:val="24"/>
        </w:rPr>
        <w:t xml:space="preserve"> and</w:t>
      </w:r>
      <w:r w:rsidRPr="00181BE3">
        <w:rPr>
          <w:rFonts w:ascii="Cambria" w:hAnsi="Cambria"/>
          <w:sz w:val="24"/>
          <w:szCs w:val="24"/>
        </w:rPr>
        <w:t xml:space="preserve"> </w:t>
      </w:r>
      <w:r w:rsidR="000A0485" w:rsidRPr="00181BE3">
        <w:rPr>
          <w:rFonts w:ascii="Cambria" w:hAnsi="Cambria"/>
          <w:sz w:val="24"/>
          <w:szCs w:val="24"/>
        </w:rPr>
        <w:t>(</w:t>
      </w:r>
      <w:r w:rsidRPr="00181BE3">
        <w:rPr>
          <w:rFonts w:ascii="Cambria" w:hAnsi="Cambria"/>
          <w:sz w:val="24"/>
          <w:szCs w:val="24"/>
        </w:rPr>
        <w:t>in part</w:t>
      </w:r>
      <w:r w:rsidR="000A0485" w:rsidRPr="00181BE3">
        <w:rPr>
          <w:rFonts w:ascii="Cambria" w:hAnsi="Cambria"/>
          <w:sz w:val="24"/>
          <w:szCs w:val="24"/>
        </w:rPr>
        <w:t>)</w:t>
      </w:r>
      <w:r w:rsidRPr="00181BE3">
        <w:rPr>
          <w:rFonts w:ascii="Cambria" w:hAnsi="Cambria"/>
          <w:sz w:val="24"/>
          <w:szCs w:val="24"/>
        </w:rPr>
        <w:t xml:space="preserve"> by the </w:t>
      </w:r>
      <w:r w:rsidR="00A853F6" w:rsidRPr="00181BE3">
        <w:rPr>
          <w:rFonts w:ascii="Cambria" w:hAnsi="Cambria"/>
          <w:sz w:val="24"/>
          <w:szCs w:val="24"/>
        </w:rPr>
        <w:t xml:space="preserve">Marshal of the </w:t>
      </w:r>
      <w:r w:rsidRPr="00181BE3">
        <w:rPr>
          <w:rFonts w:ascii="Cambria" w:hAnsi="Cambria"/>
          <w:sz w:val="24"/>
          <w:szCs w:val="24"/>
        </w:rPr>
        <w:t xml:space="preserve">Sejm. The sole opposing party was the Commissioner for Human Rights. The Tribunal laid down its </w:t>
      </w:r>
      <w:proofErr w:type="spellStart"/>
      <w:r w:rsidR="006B1775" w:rsidRPr="00181BE3">
        <w:rPr>
          <w:rFonts w:ascii="Cambria" w:hAnsi="Cambria"/>
          <w:sz w:val="24"/>
          <w:szCs w:val="24"/>
        </w:rPr>
        <w:t>en</w:t>
      </w:r>
      <w:proofErr w:type="spellEnd"/>
      <w:r w:rsidR="006B1775" w:rsidRPr="00181BE3">
        <w:rPr>
          <w:rFonts w:ascii="Cambria" w:hAnsi="Cambria"/>
          <w:sz w:val="24"/>
          <w:szCs w:val="24"/>
        </w:rPr>
        <w:t xml:space="preserve"> banc</w:t>
      </w:r>
      <w:r w:rsidR="006B1775" w:rsidRPr="00181BE3">
        <w:rPr>
          <w:rFonts w:ascii="Cambria" w:hAnsi="Cambria"/>
          <w:i/>
          <w:iCs/>
          <w:sz w:val="24"/>
          <w:szCs w:val="24"/>
        </w:rPr>
        <w:t xml:space="preserve"> </w:t>
      </w:r>
      <w:r w:rsidRPr="00181BE3">
        <w:rPr>
          <w:rFonts w:ascii="Cambria" w:hAnsi="Cambria"/>
          <w:sz w:val="24"/>
          <w:szCs w:val="24"/>
        </w:rPr>
        <w:t>ruling on October 7, 2021,</w:t>
      </w:r>
      <w:r w:rsidR="009C33EF" w:rsidRPr="00181BE3">
        <w:rPr>
          <w:rFonts w:ascii="Cambria" w:hAnsi="Cambria"/>
          <w:sz w:val="24"/>
          <w:szCs w:val="24"/>
        </w:rPr>
        <w:t xml:space="preserve"> with </w:t>
      </w:r>
      <w:r w:rsidR="006B1775" w:rsidRPr="00181BE3">
        <w:rPr>
          <w:rFonts w:ascii="Cambria" w:hAnsi="Cambria"/>
          <w:sz w:val="24"/>
          <w:szCs w:val="24"/>
        </w:rPr>
        <w:t xml:space="preserve">two dissents </w:t>
      </w:r>
      <w:r w:rsidR="009C33EF" w:rsidRPr="00181BE3">
        <w:rPr>
          <w:rFonts w:ascii="Cambria" w:hAnsi="Cambria"/>
          <w:sz w:val="24"/>
          <w:szCs w:val="24"/>
        </w:rPr>
        <w:t>and three concurrences.</w:t>
      </w:r>
      <w:r w:rsidR="00607ABE" w:rsidRPr="00181BE3">
        <w:rPr>
          <w:rFonts w:ascii="Cambria" w:hAnsi="Cambria"/>
          <w:sz w:val="24"/>
          <w:szCs w:val="24"/>
        </w:rPr>
        <w:t xml:space="preserve"> In the sentence, which reads more like a journalistic piece than a judgment of a national court, the Tribunal ruled that:</w:t>
      </w:r>
    </w:p>
    <w:p w14:paraId="7290E255" w14:textId="751A6FDB" w:rsidR="00CA49F8" w:rsidRPr="00181BE3" w:rsidRDefault="00CA49F8" w:rsidP="009C33EF">
      <w:pPr>
        <w:pStyle w:val="Cytat"/>
        <w:contextualSpacing/>
        <w:rPr>
          <w:rFonts w:ascii="Cambria" w:hAnsi="Cambria"/>
          <w:sz w:val="24"/>
          <w:szCs w:val="24"/>
          <w:lang w:val="en-GB"/>
        </w:rPr>
      </w:pPr>
      <w:r w:rsidRPr="00181BE3">
        <w:rPr>
          <w:rFonts w:ascii="Cambria" w:hAnsi="Cambria"/>
          <w:sz w:val="24"/>
          <w:szCs w:val="24"/>
          <w:lang w:val="en-GB"/>
        </w:rPr>
        <w:t>„The Constitutional Tribunal ... having examined … the motion of the Prime Minister …</w:t>
      </w:r>
    </w:p>
    <w:p w14:paraId="29409F41" w14:textId="4C21F428" w:rsidR="00CA49F8" w:rsidRPr="00181BE3" w:rsidRDefault="00CA49F8" w:rsidP="009C33EF">
      <w:pPr>
        <w:pStyle w:val="Cytat"/>
        <w:contextualSpacing/>
        <w:rPr>
          <w:rFonts w:ascii="Cambria" w:hAnsi="Cambria"/>
          <w:sz w:val="24"/>
          <w:szCs w:val="24"/>
          <w:lang w:val="en-GB"/>
        </w:rPr>
      </w:pPr>
      <w:r w:rsidRPr="00181BE3">
        <w:rPr>
          <w:rFonts w:ascii="Cambria" w:hAnsi="Cambria"/>
          <w:spacing w:val="20"/>
          <w:sz w:val="24"/>
          <w:szCs w:val="24"/>
          <w:lang w:val="en-GB"/>
        </w:rPr>
        <w:t>rules</w:t>
      </w:r>
      <w:r w:rsidR="00B77D25" w:rsidRPr="00181BE3">
        <w:rPr>
          <w:rFonts w:ascii="Cambria" w:hAnsi="Cambria"/>
          <w:spacing w:val="20"/>
          <w:sz w:val="24"/>
          <w:szCs w:val="24"/>
          <w:lang w:val="en-GB"/>
        </w:rPr>
        <w:t xml:space="preserve"> </w:t>
      </w:r>
      <w:r w:rsidRPr="00181BE3">
        <w:rPr>
          <w:rFonts w:ascii="Cambria" w:hAnsi="Cambria"/>
          <w:sz w:val="24"/>
          <w:szCs w:val="24"/>
          <w:lang w:val="en-GB"/>
        </w:rPr>
        <w:t>:</w:t>
      </w:r>
    </w:p>
    <w:p w14:paraId="10B5DB7C" w14:textId="084F41DA" w:rsidR="00246204" w:rsidRPr="00181BE3" w:rsidRDefault="00B77D25" w:rsidP="009C33EF">
      <w:pPr>
        <w:pStyle w:val="Cytat"/>
        <w:numPr>
          <w:ilvl w:val="0"/>
          <w:numId w:val="10"/>
        </w:numPr>
        <w:contextualSpacing/>
        <w:rPr>
          <w:rFonts w:ascii="Cambria" w:hAnsi="Cambria"/>
          <w:sz w:val="24"/>
          <w:szCs w:val="24"/>
          <w:lang w:val="en-GB"/>
        </w:rPr>
      </w:pPr>
      <w:r w:rsidRPr="00181BE3">
        <w:rPr>
          <w:rFonts w:ascii="Cambria" w:hAnsi="Cambria"/>
          <w:sz w:val="24"/>
          <w:szCs w:val="24"/>
          <w:lang w:val="en-GB"/>
        </w:rPr>
        <w:t xml:space="preserve">that </w:t>
      </w:r>
      <w:r w:rsidR="00CA49F8" w:rsidRPr="00181BE3">
        <w:rPr>
          <w:rFonts w:ascii="Cambria" w:hAnsi="Cambria"/>
          <w:sz w:val="24"/>
          <w:szCs w:val="24"/>
          <w:lang w:val="en-GB"/>
        </w:rPr>
        <w:t>the first and second subparagraphs of Article 1 in conjunction with Article 4(3) of the [TEU], insofar as the European Union established by equal and sovereign states forming an “even closer union among the peoples of Europe” whose integration—taking place on the basis of EU law and through its interpretation by the [CJEU]</w:t>
      </w:r>
      <w:r w:rsidR="00ED588D" w:rsidRPr="00181BE3">
        <w:rPr>
          <w:rFonts w:ascii="Cambria" w:hAnsi="Cambria"/>
          <w:sz w:val="24"/>
          <w:szCs w:val="24"/>
          <w:lang w:val="en-GB"/>
        </w:rPr>
        <w:t>—is reaching a “new stage”</w:t>
      </w:r>
      <w:r w:rsidR="008A0B31" w:rsidRPr="00181BE3">
        <w:rPr>
          <w:rFonts w:ascii="Cambria" w:hAnsi="Cambria"/>
          <w:sz w:val="24"/>
          <w:szCs w:val="24"/>
          <w:lang w:val="en-GB"/>
        </w:rPr>
        <w:t>,</w:t>
      </w:r>
      <w:r w:rsidR="00ED588D" w:rsidRPr="00181BE3">
        <w:rPr>
          <w:rFonts w:ascii="Cambria" w:hAnsi="Cambria"/>
          <w:sz w:val="24"/>
          <w:szCs w:val="24"/>
          <w:lang w:val="en-GB"/>
        </w:rPr>
        <w:t xml:space="preserve"> in which:</w:t>
      </w:r>
    </w:p>
    <w:p w14:paraId="26C014FA" w14:textId="4DE1ABA5" w:rsidR="00ED588D" w:rsidRPr="00181BE3" w:rsidRDefault="00ED588D" w:rsidP="009C33EF">
      <w:pPr>
        <w:pStyle w:val="Cytat"/>
        <w:numPr>
          <w:ilvl w:val="0"/>
          <w:numId w:val="8"/>
        </w:numPr>
        <w:ind w:left="993"/>
        <w:contextualSpacing/>
        <w:rPr>
          <w:rFonts w:ascii="Cambria" w:hAnsi="Cambria"/>
          <w:sz w:val="24"/>
          <w:szCs w:val="24"/>
          <w:lang w:val="en-GB"/>
        </w:rPr>
      </w:pPr>
      <w:r w:rsidRPr="00181BE3">
        <w:rPr>
          <w:rFonts w:ascii="Cambria" w:hAnsi="Cambria"/>
          <w:sz w:val="24"/>
          <w:szCs w:val="24"/>
          <w:lang w:val="en-GB"/>
        </w:rPr>
        <w:t>the bodies of the European Union operate beyond the limits of competencies</w:t>
      </w:r>
      <w:r w:rsidR="009C33EF" w:rsidRPr="00181BE3">
        <w:rPr>
          <w:rFonts w:ascii="Cambria" w:hAnsi="Cambria"/>
          <w:sz w:val="24"/>
          <w:szCs w:val="24"/>
          <w:lang w:val="en-GB"/>
        </w:rPr>
        <w:t xml:space="preserve"> delegated by the Republic of Poland in the treaties,</w:t>
      </w:r>
    </w:p>
    <w:p w14:paraId="6378C429" w14:textId="1529E6AA" w:rsidR="009C33EF" w:rsidRPr="00181BE3" w:rsidRDefault="009C33EF" w:rsidP="009C33EF">
      <w:pPr>
        <w:pStyle w:val="Cytat"/>
        <w:numPr>
          <w:ilvl w:val="0"/>
          <w:numId w:val="8"/>
        </w:numPr>
        <w:ind w:left="993"/>
        <w:contextualSpacing/>
        <w:rPr>
          <w:rFonts w:ascii="Cambria" w:hAnsi="Cambria"/>
          <w:sz w:val="24"/>
          <w:szCs w:val="24"/>
          <w:lang w:val="en-GB"/>
        </w:rPr>
      </w:pPr>
      <w:r w:rsidRPr="00181BE3">
        <w:rPr>
          <w:rFonts w:ascii="Cambria" w:hAnsi="Cambria"/>
          <w:sz w:val="24"/>
          <w:szCs w:val="24"/>
          <w:lang w:val="en-GB"/>
        </w:rPr>
        <w:t>the Constitution is not the supreme law of the Republic of Poland, which has priority of effectiveness and application,</w:t>
      </w:r>
    </w:p>
    <w:p w14:paraId="4827EC0C" w14:textId="6788EC3B" w:rsidR="009C33EF" w:rsidRPr="00181BE3" w:rsidRDefault="009C33EF" w:rsidP="009C33EF">
      <w:pPr>
        <w:pStyle w:val="Cytat"/>
        <w:numPr>
          <w:ilvl w:val="0"/>
          <w:numId w:val="8"/>
        </w:numPr>
        <w:ind w:left="993"/>
        <w:contextualSpacing/>
        <w:rPr>
          <w:rFonts w:ascii="Cambria" w:hAnsi="Cambria"/>
          <w:sz w:val="24"/>
          <w:szCs w:val="24"/>
          <w:lang w:val="en-GB"/>
        </w:rPr>
      </w:pPr>
      <w:r w:rsidRPr="00181BE3">
        <w:rPr>
          <w:rFonts w:ascii="Cambria" w:hAnsi="Cambria"/>
          <w:sz w:val="24"/>
          <w:szCs w:val="24"/>
          <w:lang w:val="en-GB"/>
        </w:rPr>
        <w:t>the Republic of Poland cannot function as a sovereign and independent nation</w:t>
      </w:r>
    </w:p>
    <w:p w14:paraId="209415BD" w14:textId="1FBD5C2C" w:rsidR="009C33EF" w:rsidRPr="00181BE3" w:rsidRDefault="009C33EF" w:rsidP="009C33EF">
      <w:pPr>
        <w:pStyle w:val="Cytat"/>
        <w:ind w:left="630"/>
        <w:contextualSpacing/>
        <w:rPr>
          <w:rFonts w:ascii="Cambria" w:hAnsi="Cambria"/>
          <w:sz w:val="24"/>
          <w:szCs w:val="24"/>
          <w:lang w:val="en-GB"/>
        </w:rPr>
      </w:pPr>
      <w:r w:rsidRPr="00181BE3">
        <w:rPr>
          <w:rFonts w:ascii="Cambria" w:hAnsi="Cambria"/>
          <w:sz w:val="24"/>
          <w:szCs w:val="24"/>
          <w:lang w:val="en-GB"/>
        </w:rPr>
        <w:t>—are inconsistent with Articles 2, 8 and 90(1) of the Constitution of Republic of Poland.”</w:t>
      </w:r>
      <w:r w:rsidRPr="00181BE3">
        <w:rPr>
          <w:rStyle w:val="Odwoanieprzypisudolnego"/>
          <w:rFonts w:ascii="Cambria" w:hAnsi="Cambria"/>
          <w:sz w:val="24"/>
          <w:szCs w:val="24"/>
          <w:lang w:val="en-GB"/>
        </w:rPr>
        <w:footnoteReference w:id="30"/>
      </w:r>
    </w:p>
    <w:p w14:paraId="031C6686" w14:textId="30651277" w:rsidR="009C33EF" w:rsidRPr="00181BE3" w:rsidRDefault="00607ABE" w:rsidP="008A0B31">
      <w:pPr>
        <w:pStyle w:val="NormalIndented"/>
        <w:rPr>
          <w:rFonts w:ascii="Cambria" w:hAnsi="Cambria"/>
          <w:sz w:val="24"/>
          <w:szCs w:val="24"/>
        </w:rPr>
      </w:pPr>
      <w:r w:rsidRPr="00181BE3">
        <w:rPr>
          <w:rFonts w:ascii="Cambria" w:hAnsi="Cambria"/>
          <w:sz w:val="24"/>
          <w:szCs w:val="24"/>
        </w:rPr>
        <w:t>In the further part of the sentence</w:t>
      </w:r>
      <w:r w:rsidR="009C33EF" w:rsidRPr="00181BE3">
        <w:rPr>
          <w:rFonts w:ascii="Cambria" w:hAnsi="Cambria"/>
          <w:sz w:val="24"/>
          <w:szCs w:val="24"/>
        </w:rPr>
        <w:t xml:space="preserve">, the Tribunal mostly agrees with the second and third </w:t>
      </w:r>
      <w:r w:rsidR="00410D30" w:rsidRPr="00181BE3">
        <w:rPr>
          <w:rFonts w:ascii="Cambria" w:hAnsi="Cambria"/>
          <w:sz w:val="24"/>
          <w:szCs w:val="24"/>
        </w:rPr>
        <w:t>points</w:t>
      </w:r>
      <w:r w:rsidR="009C33EF" w:rsidRPr="00181BE3">
        <w:rPr>
          <w:rFonts w:ascii="Cambria" w:hAnsi="Cambria"/>
          <w:sz w:val="24"/>
          <w:szCs w:val="24"/>
        </w:rPr>
        <w:t xml:space="preserve"> of the Prime Minister’s motion, ruling that the second subparagraph of Article 19(1) of TEU read independently as well as in conjunction with Article 2 of the Treaty is inconsistent with the Polish Constitution.</w:t>
      </w:r>
      <w:r w:rsidR="00FB4911" w:rsidRPr="00181BE3">
        <w:rPr>
          <w:rFonts w:ascii="Cambria" w:hAnsi="Cambria"/>
          <w:sz w:val="24"/>
          <w:szCs w:val="24"/>
        </w:rPr>
        <w:t xml:space="preserve"> This, once again, was a limited judgment.</w:t>
      </w:r>
    </w:p>
    <w:p w14:paraId="5FDEAB31" w14:textId="77653543" w:rsidR="00F66F47" w:rsidRPr="00181BE3" w:rsidRDefault="00394384" w:rsidP="00394384">
      <w:pPr>
        <w:pStyle w:val="Nagwek2"/>
        <w:rPr>
          <w:rFonts w:ascii="Cambria" w:hAnsi="Cambria"/>
          <w:sz w:val="24"/>
          <w:szCs w:val="24"/>
        </w:rPr>
      </w:pPr>
      <w:r w:rsidRPr="00181BE3">
        <w:rPr>
          <w:rFonts w:ascii="Cambria" w:hAnsi="Cambria"/>
          <w:sz w:val="24"/>
          <w:szCs w:val="24"/>
        </w:rPr>
        <w:t>IV. K 6/21</w:t>
      </w:r>
      <w:r w:rsidR="00FE1A0F" w:rsidRPr="00181BE3">
        <w:rPr>
          <w:rFonts w:ascii="Cambria" w:hAnsi="Cambria"/>
          <w:sz w:val="24"/>
          <w:szCs w:val="24"/>
        </w:rPr>
        <w:t>—The independence of the Constitutional Tribunal</w:t>
      </w:r>
    </w:p>
    <w:p w14:paraId="51276B11" w14:textId="792D342E" w:rsidR="004E31CD" w:rsidRPr="00181BE3" w:rsidRDefault="009D497D" w:rsidP="008A0B31">
      <w:pPr>
        <w:pStyle w:val="NormalIndented"/>
        <w:rPr>
          <w:rFonts w:ascii="Cambria" w:hAnsi="Cambria"/>
          <w:sz w:val="24"/>
          <w:szCs w:val="24"/>
        </w:rPr>
      </w:pPr>
      <w:r w:rsidRPr="00181BE3">
        <w:rPr>
          <w:rFonts w:ascii="Cambria" w:hAnsi="Cambria"/>
          <w:sz w:val="24"/>
          <w:szCs w:val="24"/>
        </w:rPr>
        <w:t xml:space="preserve">Having “dismantled” the provisions of EU Law, which </w:t>
      </w:r>
      <w:r w:rsidR="008A0B31" w:rsidRPr="00181BE3">
        <w:rPr>
          <w:rFonts w:ascii="Cambria" w:hAnsi="Cambria"/>
          <w:sz w:val="24"/>
          <w:szCs w:val="24"/>
        </w:rPr>
        <w:t>the CJEU</w:t>
      </w:r>
      <w:r w:rsidRPr="00181BE3">
        <w:rPr>
          <w:rFonts w:ascii="Cambria" w:hAnsi="Cambria"/>
          <w:sz w:val="24"/>
          <w:szCs w:val="24"/>
        </w:rPr>
        <w:t xml:space="preserve"> used to undermine the justice system reforms in Poland, the government took to eliminate analogous provisions of other international treaties from the Polish legal order. </w:t>
      </w:r>
      <w:r w:rsidR="00F96B4B" w:rsidRPr="00181BE3">
        <w:rPr>
          <w:rFonts w:ascii="Cambria" w:hAnsi="Cambria"/>
          <w:sz w:val="24"/>
          <w:szCs w:val="24"/>
        </w:rPr>
        <w:t xml:space="preserve">This became necessary after the European Court of Human Rights issued its ruling in Xero Flor, in which it </w:t>
      </w:r>
      <w:r w:rsidR="00B14B27" w:rsidRPr="00181BE3">
        <w:rPr>
          <w:rFonts w:ascii="Cambria" w:hAnsi="Cambria"/>
          <w:sz w:val="24"/>
          <w:szCs w:val="24"/>
        </w:rPr>
        <w:t xml:space="preserve">unanimously </w:t>
      </w:r>
      <w:r w:rsidR="00F96B4B" w:rsidRPr="00181BE3">
        <w:rPr>
          <w:rFonts w:ascii="Cambria" w:hAnsi="Cambria"/>
          <w:sz w:val="24"/>
          <w:szCs w:val="24"/>
        </w:rPr>
        <w:lastRenderedPageBreak/>
        <w:t>found the Constitutional Tribunal’s composition to be defective under Article 6 § 1 of the Convention.</w:t>
      </w:r>
      <w:r w:rsidR="00F96B4B" w:rsidRPr="00181BE3">
        <w:rPr>
          <w:rStyle w:val="Odwoanieprzypisudolnego"/>
          <w:rFonts w:ascii="Cambria" w:hAnsi="Cambria"/>
          <w:sz w:val="24"/>
          <w:szCs w:val="24"/>
        </w:rPr>
        <w:footnoteReference w:id="31"/>
      </w:r>
      <w:r w:rsidR="00F96B4B" w:rsidRPr="00181BE3">
        <w:rPr>
          <w:rFonts w:ascii="Cambria" w:hAnsi="Cambria"/>
          <w:sz w:val="24"/>
          <w:szCs w:val="24"/>
        </w:rPr>
        <w:t xml:space="preserve"> In response to that ruling, t</w:t>
      </w:r>
      <w:r w:rsidRPr="00181BE3">
        <w:rPr>
          <w:rFonts w:ascii="Cambria" w:hAnsi="Cambria"/>
          <w:sz w:val="24"/>
          <w:szCs w:val="24"/>
        </w:rPr>
        <w:t xml:space="preserve">he </w:t>
      </w:r>
      <w:r w:rsidR="00453D34" w:rsidRPr="00181BE3">
        <w:rPr>
          <w:rFonts w:ascii="Cambria" w:hAnsi="Cambria"/>
          <w:sz w:val="24"/>
          <w:szCs w:val="24"/>
        </w:rPr>
        <w:t>Polish Prosecutor General</w:t>
      </w:r>
      <w:r w:rsidR="0083579C" w:rsidRPr="00181BE3">
        <w:rPr>
          <w:rFonts w:ascii="Cambria" w:hAnsi="Cambria"/>
          <w:sz w:val="24"/>
          <w:szCs w:val="24"/>
        </w:rPr>
        <w:t xml:space="preserve"> </w:t>
      </w:r>
      <w:r w:rsidR="0037609C" w:rsidRPr="00181BE3">
        <w:rPr>
          <w:rFonts w:ascii="Cambria" w:hAnsi="Cambria"/>
          <w:sz w:val="24"/>
          <w:szCs w:val="24"/>
        </w:rPr>
        <w:t>who simultaneously held the post of the</w:t>
      </w:r>
      <w:r w:rsidR="007B6472" w:rsidRPr="00181BE3">
        <w:rPr>
          <w:rFonts w:ascii="Cambria" w:hAnsi="Cambria"/>
          <w:sz w:val="24"/>
          <w:szCs w:val="24"/>
        </w:rPr>
        <w:t xml:space="preserve"> </w:t>
      </w:r>
      <w:r w:rsidR="0083579C" w:rsidRPr="00181BE3">
        <w:rPr>
          <w:rFonts w:ascii="Cambria" w:hAnsi="Cambria"/>
          <w:sz w:val="24"/>
          <w:szCs w:val="24"/>
        </w:rPr>
        <w:t>Minister of Justice—Mr</w:t>
      </w:r>
      <w:r w:rsidR="000B46C9" w:rsidRPr="00181BE3">
        <w:rPr>
          <w:rFonts w:ascii="Cambria" w:hAnsi="Cambria"/>
          <w:sz w:val="24"/>
          <w:szCs w:val="24"/>
        </w:rPr>
        <w:t>.</w:t>
      </w:r>
      <w:r w:rsidR="0083579C" w:rsidRPr="00181BE3">
        <w:rPr>
          <w:rFonts w:ascii="Cambria" w:hAnsi="Cambria"/>
          <w:sz w:val="24"/>
          <w:szCs w:val="24"/>
        </w:rPr>
        <w:t xml:space="preserve"> </w:t>
      </w:r>
      <w:r w:rsidR="004E31CD" w:rsidRPr="00181BE3">
        <w:rPr>
          <w:rFonts w:ascii="Cambria" w:hAnsi="Cambria"/>
          <w:sz w:val="24"/>
          <w:szCs w:val="24"/>
        </w:rPr>
        <w:t>Zbigniew Ziobro—</w:t>
      </w:r>
      <w:r w:rsidR="00453D34" w:rsidRPr="00181BE3">
        <w:rPr>
          <w:rFonts w:ascii="Cambria" w:hAnsi="Cambria"/>
          <w:sz w:val="24"/>
          <w:szCs w:val="24"/>
        </w:rPr>
        <w:t xml:space="preserve">challenged </w:t>
      </w:r>
      <w:r w:rsidR="006A20DA" w:rsidRPr="00181BE3">
        <w:rPr>
          <w:rFonts w:ascii="Cambria" w:hAnsi="Cambria"/>
          <w:sz w:val="24"/>
          <w:szCs w:val="24"/>
        </w:rPr>
        <w:t xml:space="preserve">the above-mentioned provision, which guarantees a right </w:t>
      </w:r>
      <w:r w:rsidR="004E31CD" w:rsidRPr="00181BE3">
        <w:rPr>
          <w:rFonts w:ascii="Cambria" w:hAnsi="Cambria"/>
          <w:sz w:val="24"/>
          <w:szCs w:val="24"/>
        </w:rPr>
        <w:t xml:space="preserve">to </w:t>
      </w:r>
      <w:r w:rsidR="00F92324" w:rsidRPr="00181BE3">
        <w:rPr>
          <w:rFonts w:ascii="Cambria" w:hAnsi="Cambria"/>
          <w:sz w:val="24"/>
          <w:szCs w:val="24"/>
        </w:rPr>
        <w:t xml:space="preserve">a </w:t>
      </w:r>
      <w:r w:rsidR="00CA0789" w:rsidRPr="00181BE3">
        <w:rPr>
          <w:rFonts w:ascii="Cambria" w:hAnsi="Cambria"/>
          <w:sz w:val="24"/>
          <w:szCs w:val="24"/>
        </w:rPr>
        <w:t xml:space="preserve">fair </w:t>
      </w:r>
      <w:r w:rsidR="004E31CD" w:rsidRPr="00181BE3">
        <w:rPr>
          <w:rFonts w:ascii="Cambria" w:hAnsi="Cambria"/>
          <w:sz w:val="24"/>
          <w:szCs w:val="24"/>
        </w:rPr>
        <w:t>trial</w:t>
      </w:r>
      <w:r w:rsidR="00B943C0" w:rsidRPr="00181BE3">
        <w:rPr>
          <w:rFonts w:ascii="Cambria" w:hAnsi="Cambria"/>
          <w:sz w:val="24"/>
          <w:szCs w:val="24"/>
        </w:rPr>
        <w:t>, before the Constitutional Tribunal</w:t>
      </w:r>
      <w:r w:rsidR="00453D34" w:rsidRPr="00181BE3">
        <w:rPr>
          <w:rFonts w:ascii="Cambria" w:hAnsi="Cambria"/>
          <w:sz w:val="24"/>
          <w:szCs w:val="24"/>
        </w:rPr>
        <w:t>.</w:t>
      </w:r>
      <w:r w:rsidR="00C359A6" w:rsidRPr="00181BE3">
        <w:rPr>
          <w:rFonts w:ascii="Cambria" w:hAnsi="Cambria"/>
          <w:sz w:val="24"/>
          <w:szCs w:val="24"/>
        </w:rPr>
        <w:t xml:space="preserve"> In his motion</w:t>
      </w:r>
      <w:r w:rsidR="00A0162E" w:rsidRPr="00181BE3">
        <w:rPr>
          <w:rFonts w:ascii="Cambria" w:hAnsi="Cambria"/>
          <w:sz w:val="24"/>
          <w:szCs w:val="24"/>
        </w:rPr>
        <w:t>,</w:t>
      </w:r>
      <w:r w:rsidR="00C359A6" w:rsidRPr="00181BE3">
        <w:rPr>
          <w:rFonts w:ascii="Cambria" w:hAnsi="Cambria"/>
          <w:sz w:val="24"/>
          <w:szCs w:val="24"/>
        </w:rPr>
        <w:t xml:space="preserve"> the Prosecutor General</w:t>
      </w:r>
      <w:r w:rsidR="00EF3712" w:rsidRPr="00181BE3">
        <w:rPr>
          <w:rFonts w:ascii="Cambria" w:hAnsi="Cambria"/>
          <w:sz w:val="24"/>
          <w:szCs w:val="24"/>
        </w:rPr>
        <w:t xml:space="preserve"> wrote:</w:t>
      </w:r>
    </w:p>
    <w:p w14:paraId="1D0EF650" w14:textId="4D3583CB" w:rsidR="004E31CD" w:rsidRPr="00181BE3" w:rsidRDefault="004E31CD" w:rsidP="004E31CD">
      <w:pPr>
        <w:pStyle w:val="Cytat"/>
        <w:contextualSpacing/>
        <w:rPr>
          <w:rFonts w:ascii="Cambria" w:hAnsi="Cambria"/>
          <w:sz w:val="24"/>
          <w:szCs w:val="24"/>
          <w:lang w:val="en-GB"/>
        </w:rPr>
      </w:pPr>
      <w:r w:rsidRPr="00181BE3">
        <w:rPr>
          <w:rFonts w:ascii="Cambria" w:hAnsi="Cambria"/>
          <w:sz w:val="24"/>
          <w:szCs w:val="24"/>
          <w:lang w:val="en-GB"/>
        </w:rPr>
        <w:t xml:space="preserve">“I hereby ask </w:t>
      </w:r>
      <w:r w:rsidR="001A3E40" w:rsidRPr="00181BE3">
        <w:rPr>
          <w:rFonts w:ascii="Cambria" w:hAnsi="Cambria"/>
          <w:sz w:val="24"/>
          <w:szCs w:val="24"/>
          <w:lang w:val="en-GB"/>
        </w:rPr>
        <w:t>for a finding that</w:t>
      </w:r>
      <w:r w:rsidRPr="00181BE3">
        <w:rPr>
          <w:rFonts w:ascii="Cambria" w:hAnsi="Cambria"/>
          <w:sz w:val="24"/>
          <w:szCs w:val="24"/>
          <w:lang w:val="en-GB"/>
        </w:rPr>
        <w:t>:</w:t>
      </w:r>
    </w:p>
    <w:p w14:paraId="2D18649E" w14:textId="0EF37CBD" w:rsidR="004E31CD" w:rsidRPr="00181BE3" w:rsidRDefault="004E31CD" w:rsidP="004E31CD">
      <w:pPr>
        <w:pStyle w:val="Cytat"/>
        <w:numPr>
          <w:ilvl w:val="0"/>
          <w:numId w:val="3"/>
        </w:numPr>
        <w:contextualSpacing/>
        <w:rPr>
          <w:rFonts w:ascii="Cambria" w:hAnsi="Cambria"/>
          <w:sz w:val="24"/>
          <w:szCs w:val="24"/>
          <w:lang w:val="en-GB"/>
        </w:rPr>
      </w:pPr>
      <w:r w:rsidRPr="00181BE3">
        <w:rPr>
          <w:rFonts w:ascii="Cambria" w:hAnsi="Cambria"/>
          <w:sz w:val="24"/>
          <w:szCs w:val="24"/>
          <w:lang w:val="en-GB"/>
        </w:rPr>
        <w:t>the first sentence of Article 6</w:t>
      </w:r>
      <w:r w:rsidR="00F60112" w:rsidRPr="00181BE3">
        <w:rPr>
          <w:rFonts w:ascii="Cambria" w:hAnsi="Cambria"/>
          <w:sz w:val="24"/>
          <w:szCs w:val="24"/>
          <w:lang w:val="en-GB"/>
        </w:rPr>
        <w:t> § </w:t>
      </w:r>
      <w:r w:rsidRPr="00181BE3">
        <w:rPr>
          <w:rFonts w:ascii="Cambria" w:hAnsi="Cambria"/>
          <w:sz w:val="24"/>
          <w:szCs w:val="24"/>
          <w:lang w:val="en-GB"/>
        </w:rPr>
        <w:t xml:space="preserve">1 of </w:t>
      </w:r>
      <w:r w:rsidR="00402F42" w:rsidRPr="00181BE3">
        <w:rPr>
          <w:rFonts w:ascii="Cambria" w:hAnsi="Cambria"/>
          <w:sz w:val="24"/>
          <w:szCs w:val="24"/>
          <w:lang w:val="en-GB"/>
        </w:rPr>
        <w:t>[</w:t>
      </w:r>
      <w:r w:rsidRPr="00181BE3">
        <w:rPr>
          <w:rFonts w:ascii="Cambria" w:hAnsi="Cambria"/>
          <w:sz w:val="24"/>
          <w:szCs w:val="24"/>
          <w:lang w:val="en-GB"/>
        </w:rPr>
        <w:t>the ECHR], insofar as the term “</w:t>
      </w:r>
      <w:r w:rsidR="00337C36" w:rsidRPr="00181BE3">
        <w:rPr>
          <w:rFonts w:ascii="Cambria" w:hAnsi="Cambria"/>
          <w:sz w:val="24"/>
          <w:szCs w:val="24"/>
          <w:lang w:val="en-GB"/>
        </w:rPr>
        <w:t>tribunal</w:t>
      </w:r>
      <w:r w:rsidRPr="00181BE3">
        <w:rPr>
          <w:rFonts w:ascii="Cambria" w:hAnsi="Cambria"/>
          <w:sz w:val="24"/>
          <w:szCs w:val="24"/>
          <w:lang w:val="en-GB"/>
        </w:rPr>
        <w:t xml:space="preserve">” used in this provision </w:t>
      </w:r>
      <w:r w:rsidR="001A3E40" w:rsidRPr="00181BE3">
        <w:rPr>
          <w:rFonts w:ascii="Cambria" w:hAnsi="Cambria"/>
          <w:sz w:val="24"/>
          <w:szCs w:val="24"/>
          <w:lang w:val="en-GB"/>
        </w:rPr>
        <w:t>encompasses</w:t>
      </w:r>
      <w:r w:rsidRPr="00181BE3">
        <w:rPr>
          <w:rFonts w:ascii="Cambria" w:hAnsi="Cambria"/>
          <w:sz w:val="24"/>
          <w:szCs w:val="24"/>
          <w:lang w:val="en-GB"/>
        </w:rPr>
        <w:t xml:space="preserve"> the Constitutional Tribunal …, is inconsistent with Articles 2, 8(1), 10(2), 173 and 175(1) of the Constitution of the Republic of Poland;</w:t>
      </w:r>
    </w:p>
    <w:p w14:paraId="237E23BE" w14:textId="12A54352" w:rsidR="004E31CD" w:rsidRPr="00181BE3" w:rsidRDefault="004E31CD" w:rsidP="004E31CD">
      <w:pPr>
        <w:pStyle w:val="Cytat"/>
        <w:numPr>
          <w:ilvl w:val="0"/>
          <w:numId w:val="3"/>
        </w:numPr>
        <w:contextualSpacing/>
        <w:rPr>
          <w:rFonts w:ascii="Cambria" w:hAnsi="Cambria"/>
          <w:sz w:val="24"/>
          <w:szCs w:val="24"/>
          <w:lang w:val="en-GB"/>
        </w:rPr>
      </w:pPr>
      <w:r w:rsidRPr="00181BE3">
        <w:rPr>
          <w:rFonts w:ascii="Cambria" w:hAnsi="Cambria"/>
          <w:sz w:val="24"/>
          <w:szCs w:val="24"/>
          <w:lang w:val="en-GB"/>
        </w:rPr>
        <w:t xml:space="preserve">the first sentence of </w:t>
      </w:r>
      <w:r w:rsidR="00F60112" w:rsidRPr="00181BE3">
        <w:rPr>
          <w:rFonts w:ascii="Cambria" w:hAnsi="Cambria"/>
          <w:sz w:val="24"/>
          <w:szCs w:val="24"/>
          <w:lang w:val="en-GB"/>
        </w:rPr>
        <w:t>Article 6 § 1</w:t>
      </w:r>
      <w:r w:rsidRPr="00181BE3">
        <w:rPr>
          <w:rFonts w:ascii="Cambria" w:hAnsi="Cambria"/>
          <w:sz w:val="24"/>
          <w:szCs w:val="24"/>
          <w:lang w:val="en-GB"/>
        </w:rPr>
        <w:t xml:space="preserve"> of </w:t>
      </w:r>
      <w:r w:rsidR="00402F42" w:rsidRPr="00181BE3">
        <w:rPr>
          <w:rFonts w:ascii="Cambria" w:hAnsi="Cambria"/>
          <w:sz w:val="24"/>
          <w:szCs w:val="24"/>
          <w:lang w:val="en-GB"/>
        </w:rPr>
        <w:t>[</w:t>
      </w:r>
      <w:r w:rsidRPr="00181BE3">
        <w:rPr>
          <w:rFonts w:ascii="Cambria" w:hAnsi="Cambria"/>
          <w:sz w:val="24"/>
          <w:szCs w:val="24"/>
          <w:lang w:val="en-GB"/>
        </w:rPr>
        <w:t xml:space="preserve">the ECHR], </w:t>
      </w:r>
      <w:r w:rsidR="00402F42" w:rsidRPr="00181BE3">
        <w:rPr>
          <w:rFonts w:ascii="Cambria" w:hAnsi="Cambria"/>
          <w:sz w:val="24"/>
          <w:szCs w:val="24"/>
          <w:lang w:val="en-GB"/>
        </w:rPr>
        <w:t xml:space="preserve">insofar as it equates the guarantee of </w:t>
      </w:r>
      <w:r w:rsidR="00402F42" w:rsidRPr="00181BE3">
        <w:rPr>
          <w:rFonts w:ascii="Cambria" w:hAnsi="Cambria"/>
          <w:i/>
          <w:iCs w:val="0"/>
          <w:sz w:val="24"/>
          <w:szCs w:val="24"/>
          <w:lang w:val="en-GB"/>
        </w:rPr>
        <w:t>a hearing within a reasonable time by an independent and impartial tribunal established by law in the determination of the civil rights of a subject and obligations or of any criminal charge against them</w:t>
      </w:r>
      <w:r w:rsidR="00402F42" w:rsidRPr="00181BE3">
        <w:rPr>
          <w:rFonts w:ascii="Cambria" w:hAnsi="Cambria"/>
          <w:sz w:val="24"/>
          <w:szCs w:val="24"/>
          <w:lang w:val="en-GB"/>
        </w:rPr>
        <w:t xml:space="preserve"> arising out of this provision with the competence of the Constitutional Tribunal to rule on the hierarchical consistency of provisions and legal acts enumerated in the Constitution of Poland, and as such allows to extend the requirements arising out of Article 6 of the ECHR to proceedings before the Constitutional Tribunal is inconsistent with Articles 2, 8(1), 79(1), 122(3) and (4), 188(1) to (3) and (5) and 193 of the </w:t>
      </w:r>
      <w:r w:rsidR="00324368" w:rsidRPr="00181BE3">
        <w:rPr>
          <w:rFonts w:ascii="Cambria" w:hAnsi="Cambria"/>
          <w:sz w:val="24"/>
          <w:szCs w:val="24"/>
          <w:lang w:val="en-GB"/>
        </w:rPr>
        <w:t xml:space="preserve">Polish </w:t>
      </w:r>
      <w:r w:rsidR="00402F42" w:rsidRPr="00181BE3">
        <w:rPr>
          <w:rFonts w:ascii="Cambria" w:hAnsi="Cambria"/>
          <w:sz w:val="24"/>
          <w:szCs w:val="24"/>
          <w:lang w:val="en-GB"/>
        </w:rPr>
        <w:t>Constitution;</w:t>
      </w:r>
    </w:p>
    <w:p w14:paraId="78B8E1C4" w14:textId="49659731" w:rsidR="004E31CD" w:rsidRPr="00181BE3" w:rsidRDefault="004E31CD" w:rsidP="004E31CD">
      <w:pPr>
        <w:pStyle w:val="Cytat"/>
        <w:numPr>
          <w:ilvl w:val="0"/>
          <w:numId w:val="3"/>
        </w:numPr>
        <w:contextualSpacing/>
        <w:rPr>
          <w:rFonts w:ascii="Cambria" w:hAnsi="Cambria"/>
          <w:sz w:val="24"/>
          <w:szCs w:val="24"/>
          <w:lang w:val="en-GB"/>
        </w:rPr>
      </w:pPr>
      <w:r w:rsidRPr="00181BE3">
        <w:rPr>
          <w:rFonts w:ascii="Cambria" w:hAnsi="Cambria"/>
          <w:sz w:val="24"/>
          <w:szCs w:val="24"/>
          <w:lang w:val="en-GB"/>
        </w:rPr>
        <w:t xml:space="preserve">the first sentence of </w:t>
      </w:r>
      <w:r w:rsidR="00F60112" w:rsidRPr="00181BE3">
        <w:rPr>
          <w:rFonts w:ascii="Cambria" w:hAnsi="Cambria"/>
          <w:sz w:val="24"/>
          <w:szCs w:val="24"/>
          <w:lang w:val="en-GB"/>
        </w:rPr>
        <w:t>Article 6 § 1</w:t>
      </w:r>
      <w:r w:rsidRPr="00181BE3">
        <w:rPr>
          <w:rFonts w:ascii="Cambria" w:hAnsi="Cambria"/>
          <w:sz w:val="24"/>
          <w:szCs w:val="24"/>
          <w:lang w:val="en-GB"/>
        </w:rPr>
        <w:t xml:space="preserve"> of </w:t>
      </w:r>
      <w:r w:rsidR="00402F42" w:rsidRPr="00181BE3">
        <w:rPr>
          <w:rFonts w:ascii="Cambria" w:hAnsi="Cambria"/>
          <w:sz w:val="24"/>
          <w:szCs w:val="24"/>
          <w:lang w:val="en-GB"/>
        </w:rPr>
        <w:t>[</w:t>
      </w:r>
      <w:r w:rsidRPr="00181BE3">
        <w:rPr>
          <w:rFonts w:ascii="Cambria" w:hAnsi="Cambria"/>
          <w:sz w:val="24"/>
          <w:szCs w:val="24"/>
          <w:lang w:val="en-GB"/>
        </w:rPr>
        <w:t xml:space="preserve">the ECHR], </w:t>
      </w:r>
      <w:r w:rsidR="005E22CF" w:rsidRPr="00181BE3">
        <w:rPr>
          <w:rFonts w:ascii="Cambria" w:hAnsi="Cambria"/>
          <w:sz w:val="24"/>
          <w:szCs w:val="24"/>
          <w:lang w:val="en-GB"/>
        </w:rPr>
        <w:t xml:space="preserve">insofar as it covers the </w:t>
      </w:r>
      <w:r w:rsidR="00337C36" w:rsidRPr="00181BE3">
        <w:rPr>
          <w:rFonts w:ascii="Cambria" w:hAnsi="Cambria"/>
          <w:sz w:val="24"/>
          <w:szCs w:val="24"/>
          <w:lang w:val="en-GB"/>
        </w:rPr>
        <w:t>assessment</w:t>
      </w:r>
      <w:r w:rsidR="005E22CF" w:rsidRPr="00181BE3">
        <w:rPr>
          <w:rFonts w:ascii="Cambria" w:hAnsi="Cambria"/>
          <w:sz w:val="24"/>
          <w:szCs w:val="24"/>
          <w:lang w:val="en-GB"/>
        </w:rPr>
        <w:t xml:space="preserve"> by the European Court of Human Rights </w:t>
      </w:r>
      <w:r w:rsidR="00337C36" w:rsidRPr="00181BE3">
        <w:rPr>
          <w:rFonts w:ascii="Cambria" w:hAnsi="Cambria"/>
          <w:sz w:val="24"/>
          <w:szCs w:val="24"/>
          <w:lang w:val="en-GB"/>
        </w:rPr>
        <w:t xml:space="preserve">of the legality of the process of selecting the judges of the Constitutional Tribunal to determine whether the </w:t>
      </w:r>
      <w:r w:rsidR="00C82CFB" w:rsidRPr="00181BE3">
        <w:rPr>
          <w:rFonts w:ascii="Cambria" w:hAnsi="Cambria"/>
          <w:sz w:val="24"/>
          <w:szCs w:val="24"/>
          <w:lang w:val="en-GB"/>
        </w:rPr>
        <w:t xml:space="preserve">Constitutional </w:t>
      </w:r>
      <w:r w:rsidR="00337C36" w:rsidRPr="00181BE3">
        <w:rPr>
          <w:rFonts w:ascii="Cambria" w:hAnsi="Cambria"/>
          <w:sz w:val="24"/>
          <w:szCs w:val="24"/>
          <w:lang w:val="en-GB"/>
        </w:rPr>
        <w:t xml:space="preserve">Tribunal is an independent and impartial tribunal established by law is inconsistent with Articles 2, 8(1), 89(1)(3) and 194(1) of the </w:t>
      </w:r>
      <w:r w:rsidR="00324368" w:rsidRPr="00181BE3">
        <w:rPr>
          <w:rFonts w:ascii="Cambria" w:hAnsi="Cambria"/>
          <w:sz w:val="24"/>
          <w:szCs w:val="24"/>
          <w:lang w:val="en-GB"/>
        </w:rPr>
        <w:t xml:space="preserve">Polish </w:t>
      </w:r>
      <w:r w:rsidR="00337C36" w:rsidRPr="00181BE3">
        <w:rPr>
          <w:rFonts w:ascii="Cambria" w:hAnsi="Cambria"/>
          <w:sz w:val="24"/>
          <w:szCs w:val="24"/>
          <w:lang w:val="en-GB"/>
        </w:rPr>
        <w:t>Constitution.</w:t>
      </w:r>
      <w:r w:rsidR="006151E1" w:rsidRPr="00181BE3">
        <w:rPr>
          <w:rFonts w:ascii="Cambria" w:hAnsi="Cambria"/>
          <w:sz w:val="24"/>
          <w:szCs w:val="24"/>
          <w:lang w:val="en-GB"/>
        </w:rPr>
        <w:t>”</w:t>
      </w:r>
      <w:r w:rsidR="006151E1" w:rsidRPr="00181BE3">
        <w:rPr>
          <w:rStyle w:val="Odwoanieprzypisudolnego"/>
          <w:rFonts w:ascii="Cambria" w:hAnsi="Cambria"/>
          <w:sz w:val="24"/>
          <w:szCs w:val="24"/>
          <w:lang w:val="en-GB"/>
        </w:rPr>
        <w:footnoteReference w:id="32"/>
      </w:r>
    </w:p>
    <w:p w14:paraId="78906CAA" w14:textId="2AEF5C4C" w:rsidR="00B47C00" w:rsidRPr="00181BE3" w:rsidRDefault="001D0516" w:rsidP="00B47C00">
      <w:pPr>
        <w:pStyle w:val="NormalIndented"/>
        <w:rPr>
          <w:rFonts w:ascii="Cambria" w:hAnsi="Cambria"/>
          <w:sz w:val="24"/>
          <w:szCs w:val="24"/>
        </w:rPr>
      </w:pPr>
      <w:r w:rsidRPr="00181BE3">
        <w:rPr>
          <w:rFonts w:ascii="Cambria" w:hAnsi="Cambria"/>
          <w:sz w:val="24"/>
          <w:szCs w:val="24"/>
        </w:rPr>
        <w:t xml:space="preserve">Among those reference provisions not enumerated in earlier parts of the paper are the following </w:t>
      </w:r>
      <w:r w:rsidR="00B14B27" w:rsidRPr="00181BE3">
        <w:rPr>
          <w:rFonts w:ascii="Cambria" w:hAnsi="Cambria"/>
          <w:sz w:val="24"/>
          <w:szCs w:val="24"/>
        </w:rPr>
        <w:t>Articles</w:t>
      </w:r>
      <w:r w:rsidRPr="00181BE3">
        <w:rPr>
          <w:rFonts w:ascii="Cambria" w:hAnsi="Cambria"/>
          <w:sz w:val="24"/>
          <w:szCs w:val="24"/>
        </w:rPr>
        <w:t xml:space="preserve"> of the Polish Constitution: Article 10(2)—the principle of separation of powers;</w:t>
      </w:r>
      <w:r w:rsidR="006718EC" w:rsidRPr="00181BE3">
        <w:rPr>
          <w:rFonts w:ascii="Cambria" w:hAnsi="Cambria"/>
          <w:sz w:val="24"/>
          <w:szCs w:val="24"/>
        </w:rPr>
        <w:t xml:space="preserve"> Article 79(1)—granting all citizens the right to a constitutional complaint; </w:t>
      </w:r>
      <w:r w:rsidRPr="00181BE3">
        <w:rPr>
          <w:rFonts w:ascii="Cambria" w:hAnsi="Cambria"/>
          <w:sz w:val="24"/>
          <w:szCs w:val="24"/>
        </w:rPr>
        <w:t xml:space="preserve"> </w:t>
      </w:r>
      <w:r w:rsidR="006718EC" w:rsidRPr="00181BE3">
        <w:rPr>
          <w:rFonts w:ascii="Cambria" w:hAnsi="Cambria"/>
          <w:sz w:val="24"/>
          <w:szCs w:val="24"/>
        </w:rPr>
        <w:t xml:space="preserve">Article 89(1)(1)—requiring the statutory ratification of treaties regarding Poland’s membership </w:t>
      </w:r>
      <w:r w:rsidR="006718EC" w:rsidRPr="00181BE3">
        <w:rPr>
          <w:rFonts w:ascii="Cambria" w:hAnsi="Cambria"/>
          <w:sz w:val="24"/>
          <w:szCs w:val="24"/>
        </w:rPr>
        <w:lastRenderedPageBreak/>
        <w:t xml:space="preserve">in international organizations; </w:t>
      </w:r>
      <w:r w:rsidR="007B2344" w:rsidRPr="00181BE3">
        <w:rPr>
          <w:rFonts w:ascii="Cambria" w:hAnsi="Cambria"/>
          <w:sz w:val="24"/>
          <w:szCs w:val="24"/>
        </w:rPr>
        <w:t xml:space="preserve">Article 122(3) and (4)—explaining the Tribunal’s role in the so called “preventative” control of constitutionality of statutes; </w:t>
      </w:r>
      <w:r w:rsidRPr="00181BE3">
        <w:rPr>
          <w:rFonts w:ascii="Cambria" w:hAnsi="Cambria"/>
          <w:sz w:val="24"/>
          <w:szCs w:val="24"/>
        </w:rPr>
        <w:t>Article 173—establishing the courts and tribunals as an independent branch of power; Article 175(1)—entrusting the administration of justice in Poland to the Supreme Court, as well as to the common, administrative, and military courts; Article 188(1) to (3) and (5)—</w:t>
      </w:r>
      <w:r w:rsidR="00F96B4B" w:rsidRPr="00181BE3">
        <w:rPr>
          <w:rFonts w:ascii="Cambria" w:hAnsi="Cambria"/>
          <w:sz w:val="24"/>
          <w:szCs w:val="24"/>
        </w:rPr>
        <w:t xml:space="preserve">enumerating </w:t>
      </w:r>
      <w:r w:rsidRPr="00181BE3">
        <w:rPr>
          <w:rFonts w:ascii="Cambria" w:hAnsi="Cambria"/>
          <w:sz w:val="24"/>
          <w:szCs w:val="24"/>
        </w:rPr>
        <w:t>the jurisdiction of the Tribuna</w:t>
      </w:r>
      <w:r w:rsidR="000C46EC" w:rsidRPr="00181BE3">
        <w:rPr>
          <w:rFonts w:ascii="Cambria" w:hAnsi="Cambria"/>
          <w:sz w:val="24"/>
          <w:szCs w:val="24"/>
        </w:rPr>
        <w:t xml:space="preserve">l; Article 193—establishing the basis for </w:t>
      </w:r>
      <w:r w:rsidR="00F96B4B" w:rsidRPr="00181BE3">
        <w:rPr>
          <w:rFonts w:ascii="Cambria" w:hAnsi="Cambria"/>
          <w:sz w:val="24"/>
          <w:szCs w:val="24"/>
        </w:rPr>
        <w:t>issuing</w:t>
      </w:r>
      <w:r w:rsidR="000C46EC" w:rsidRPr="00181BE3">
        <w:rPr>
          <w:rFonts w:ascii="Cambria" w:hAnsi="Cambria"/>
          <w:sz w:val="24"/>
          <w:szCs w:val="24"/>
        </w:rPr>
        <w:t xml:space="preserve"> judicial questions to the Tribunal; and finally Article 194(1) of the Constitution—concerning the composition of the Tribunal.</w:t>
      </w:r>
      <w:r w:rsidR="00B47C00" w:rsidRPr="00181BE3">
        <w:rPr>
          <w:rFonts w:ascii="Cambria" w:hAnsi="Cambria"/>
          <w:sz w:val="24"/>
          <w:szCs w:val="24"/>
        </w:rPr>
        <w:t xml:space="preserve"> Such a selection of reference provisions aims to articulate the Prosecutor General’s view, that the Constitutional Tribunal is not a typical court, tasked with the administration of justice</w:t>
      </w:r>
      <w:r w:rsidR="001B0665" w:rsidRPr="00181BE3">
        <w:rPr>
          <w:rFonts w:ascii="Cambria" w:hAnsi="Cambria"/>
          <w:sz w:val="24"/>
          <w:szCs w:val="24"/>
        </w:rPr>
        <w:t>, but rather a “quasi-court”</w:t>
      </w:r>
      <w:r w:rsidR="00F60112" w:rsidRPr="00181BE3">
        <w:rPr>
          <w:rFonts w:ascii="Cambria" w:hAnsi="Cambria"/>
          <w:sz w:val="24"/>
          <w:szCs w:val="24"/>
        </w:rPr>
        <w:t>,</w:t>
      </w:r>
      <w:r w:rsidR="001B0665" w:rsidRPr="00181BE3">
        <w:rPr>
          <w:rStyle w:val="Odwoanieprzypisudolnego"/>
          <w:rFonts w:ascii="Cambria" w:hAnsi="Cambria"/>
          <w:sz w:val="24"/>
          <w:szCs w:val="24"/>
        </w:rPr>
        <w:footnoteReference w:id="33"/>
      </w:r>
      <w:r w:rsidR="00F60112" w:rsidRPr="00181BE3">
        <w:rPr>
          <w:rFonts w:ascii="Cambria" w:hAnsi="Cambria"/>
          <w:sz w:val="24"/>
          <w:szCs w:val="24"/>
        </w:rPr>
        <w:t xml:space="preserve"> and as such should not be examined under the conditions of Article 6 § 1 of the Convention.</w:t>
      </w:r>
    </w:p>
    <w:p w14:paraId="3A15CB1F" w14:textId="489F4441" w:rsidR="004E31CD" w:rsidRPr="00181BE3" w:rsidRDefault="00F60112" w:rsidP="004D4046">
      <w:pPr>
        <w:pStyle w:val="NormalIndented"/>
        <w:ind w:firstLine="709"/>
        <w:rPr>
          <w:rFonts w:ascii="Cambria" w:hAnsi="Cambria"/>
          <w:sz w:val="24"/>
          <w:szCs w:val="24"/>
        </w:rPr>
      </w:pPr>
      <w:r w:rsidRPr="00181BE3">
        <w:rPr>
          <w:rFonts w:ascii="Cambria" w:hAnsi="Cambria"/>
          <w:sz w:val="24"/>
          <w:szCs w:val="24"/>
        </w:rPr>
        <w:t xml:space="preserve">The Prosecutor General’s motion was once again supported by the President, </w:t>
      </w:r>
      <w:r w:rsidR="0051580F" w:rsidRPr="00181BE3">
        <w:rPr>
          <w:rFonts w:ascii="Cambria" w:hAnsi="Cambria"/>
          <w:sz w:val="24"/>
          <w:szCs w:val="24"/>
        </w:rPr>
        <w:t xml:space="preserve">and (in part) </w:t>
      </w:r>
      <w:r w:rsidRPr="00181BE3">
        <w:rPr>
          <w:rFonts w:ascii="Cambria" w:hAnsi="Cambria"/>
          <w:sz w:val="24"/>
          <w:szCs w:val="24"/>
        </w:rPr>
        <w:t xml:space="preserve">by the </w:t>
      </w:r>
      <w:r w:rsidR="0018414B" w:rsidRPr="00181BE3">
        <w:rPr>
          <w:rFonts w:ascii="Cambria" w:hAnsi="Cambria"/>
          <w:sz w:val="24"/>
          <w:szCs w:val="24"/>
        </w:rPr>
        <w:t xml:space="preserve">Marshal of the </w:t>
      </w:r>
      <w:r w:rsidRPr="00181BE3">
        <w:rPr>
          <w:rFonts w:ascii="Cambria" w:hAnsi="Cambria"/>
          <w:sz w:val="24"/>
          <w:szCs w:val="24"/>
        </w:rPr>
        <w:t xml:space="preserve">Sejm. The Commissioner for Human Rights opposed the motion, while the Minister of Foreign Affairs filed a rather cautious, </w:t>
      </w:r>
      <w:r w:rsidR="006B5CF7" w:rsidRPr="00181BE3">
        <w:rPr>
          <w:rFonts w:ascii="Cambria" w:hAnsi="Cambria"/>
          <w:sz w:val="24"/>
          <w:szCs w:val="24"/>
        </w:rPr>
        <w:t>nonindicative</w:t>
      </w:r>
      <w:r w:rsidRPr="00181BE3">
        <w:rPr>
          <w:rFonts w:ascii="Cambria" w:hAnsi="Cambria"/>
          <w:sz w:val="24"/>
          <w:szCs w:val="24"/>
        </w:rPr>
        <w:t xml:space="preserve"> opinion.</w:t>
      </w:r>
      <w:r w:rsidR="007F0203" w:rsidRPr="00181BE3">
        <w:rPr>
          <w:rFonts w:ascii="Cambria" w:hAnsi="Cambria"/>
          <w:sz w:val="24"/>
          <w:szCs w:val="24"/>
        </w:rPr>
        <w:t xml:space="preserve"> The Tribunal, </w:t>
      </w:r>
      <w:r w:rsidR="0051580F" w:rsidRPr="00181BE3">
        <w:rPr>
          <w:rFonts w:ascii="Cambria" w:hAnsi="Cambria"/>
          <w:sz w:val="24"/>
          <w:szCs w:val="24"/>
        </w:rPr>
        <w:t xml:space="preserve">however, </w:t>
      </w:r>
      <w:r w:rsidR="007F0203" w:rsidRPr="00181BE3">
        <w:rPr>
          <w:rFonts w:ascii="Cambria" w:hAnsi="Cambria"/>
          <w:sz w:val="24"/>
          <w:szCs w:val="24"/>
        </w:rPr>
        <w:t xml:space="preserve">sitting in a </w:t>
      </w:r>
      <w:r w:rsidR="004B0033" w:rsidRPr="00181BE3">
        <w:rPr>
          <w:rFonts w:ascii="Cambria" w:hAnsi="Cambria"/>
          <w:sz w:val="24"/>
          <w:szCs w:val="24"/>
        </w:rPr>
        <w:br/>
      </w:r>
      <w:r w:rsidR="007F0203" w:rsidRPr="00181BE3">
        <w:rPr>
          <w:rFonts w:ascii="Cambria" w:hAnsi="Cambria"/>
          <w:sz w:val="24"/>
          <w:szCs w:val="24"/>
        </w:rPr>
        <w:t xml:space="preserve">5-judge panel, unanimously ruled that the word “tribunal” contained in Article 6 § 1 of the Convention does not encompass </w:t>
      </w:r>
      <w:r w:rsidR="00245606" w:rsidRPr="00181BE3">
        <w:rPr>
          <w:rFonts w:ascii="Cambria" w:hAnsi="Cambria"/>
          <w:sz w:val="24"/>
          <w:szCs w:val="24"/>
        </w:rPr>
        <w:t>itself</w:t>
      </w:r>
      <w:r w:rsidR="007F0203" w:rsidRPr="00181BE3">
        <w:rPr>
          <w:rFonts w:ascii="Cambria" w:hAnsi="Cambria"/>
          <w:sz w:val="24"/>
          <w:szCs w:val="24"/>
        </w:rPr>
        <w:t>, and as such the ECtHR has no competence to question its composition.</w:t>
      </w:r>
      <w:r w:rsidR="007F0203" w:rsidRPr="00181BE3">
        <w:rPr>
          <w:rStyle w:val="Odwoanieprzypisudolnego"/>
          <w:rFonts w:ascii="Cambria" w:hAnsi="Cambria"/>
          <w:sz w:val="24"/>
          <w:szCs w:val="24"/>
        </w:rPr>
        <w:footnoteReference w:id="34"/>
      </w:r>
    </w:p>
    <w:p w14:paraId="23A23503" w14:textId="19C88214" w:rsidR="00394384" w:rsidRPr="00181BE3" w:rsidRDefault="00394384" w:rsidP="00394384">
      <w:pPr>
        <w:pStyle w:val="Nagwek2"/>
        <w:rPr>
          <w:rFonts w:ascii="Cambria" w:hAnsi="Cambria"/>
          <w:sz w:val="24"/>
          <w:szCs w:val="24"/>
        </w:rPr>
      </w:pPr>
      <w:r w:rsidRPr="00181BE3">
        <w:rPr>
          <w:rFonts w:ascii="Cambria" w:hAnsi="Cambria"/>
          <w:sz w:val="24"/>
          <w:szCs w:val="24"/>
        </w:rPr>
        <w:t>V. K 7/21</w:t>
      </w:r>
      <w:r w:rsidR="00226826" w:rsidRPr="00181BE3">
        <w:rPr>
          <w:rFonts w:ascii="Cambria" w:hAnsi="Cambria"/>
          <w:sz w:val="24"/>
          <w:szCs w:val="24"/>
        </w:rPr>
        <w:t>—Judges elected by the “neo” National Cou</w:t>
      </w:r>
      <w:r w:rsidR="00A0162E" w:rsidRPr="00181BE3">
        <w:rPr>
          <w:rFonts w:ascii="Cambria" w:hAnsi="Cambria"/>
          <w:sz w:val="24"/>
          <w:szCs w:val="24"/>
        </w:rPr>
        <w:t>n</w:t>
      </w:r>
      <w:r w:rsidR="00226826" w:rsidRPr="00181BE3">
        <w:rPr>
          <w:rFonts w:ascii="Cambria" w:hAnsi="Cambria"/>
          <w:sz w:val="24"/>
          <w:szCs w:val="24"/>
        </w:rPr>
        <w:t>cil of the Judiciary</w:t>
      </w:r>
    </w:p>
    <w:p w14:paraId="12F5F4A4" w14:textId="32939D5B" w:rsidR="004E31CD" w:rsidRPr="00181BE3" w:rsidRDefault="00752FD0" w:rsidP="00DD5B9C">
      <w:pPr>
        <w:pStyle w:val="NormalIndented"/>
        <w:rPr>
          <w:rFonts w:ascii="Cambria" w:hAnsi="Cambria"/>
          <w:sz w:val="24"/>
          <w:szCs w:val="24"/>
        </w:rPr>
      </w:pPr>
      <w:r w:rsidRPr="00181BE3">
        <w:rPr>
          <w:rFonts w:ascii="Cambria" w:hAnsi="Cambria"/>
          <w:sz w:val="24"/>
          <w:szCs w:val="24"/>
        </w:rPr>
        <w:t xml:space="preserve">Following the decision in Xero Flor, </w:t>
      </w:r>
      <w:r w:rsidR="00490194" w:rsidRPr="00181BE3">
        <w:rPr>
          <w:rFonts w:ascii="Cambria" w:hAnsi="Cambria"/>
          <w:sz w:val="24"/>
          <w:szCs w:val="24"/>
        </w:rPr>
        <w:t xml:space="preserve">the European Court of Human Rights laid down two other judgments relating to the judiciary reforms in Poland. First, the Court issued its decision in Broda, in which it ruled that by prematurely terminating </w:t>
      </w:r>
      <w:r w:rsidR="00A0162E" w:rsidRPr="00181BE3">
        <w:rPr>
          <w:rFonts w:ascii="Cambria" w:hAnsi="Cambria"/>
          <w:sz w:val="24"/>
          <w:szCs w:val="24"/>
        </w:rPr>
        <w:t xml:space="preserve">the </w:t>
      </w:r>
      <w:r w:rsidR="00490194" w:rsidRPr="00181BE3">
        <w:rPr>
          <w:rFonts w:ascii="Cambria" w:hAnsi="Cambria"/>
          <w:sz w:val="24"/>
          <w:szCs w:val="24"/>
        </w:rPr>
        <w:t xml:space="preserve">mandates </w:t>
      </w:r>
      <w:r w:rsidR="00854D5B" w:rsidRPr="00181BE3">
        <w:rPr>
          <w:rFonts w:ascii="Cambria" w:hAnsi="Cambria"/>
          <w:sz w:val="24"/>
          <w:szCs w:val="24"/>
        </w:rPr>
        <w:t xml:space="preserve">of two </w:t>
      </w:r>
      <w:r w:rsidR="00490194" w:rsidRPr="00181BE3">
        <w:rPr>
          <w:rFonts w:ascii="Cambria" w:hAnsi="Cambria"/>
          <w:sz w:val="24"/>
          <w:szCs w:val="24"/>
        </w:rPr>
        <w:t>Chief Judges of their respective Courts, the Polish government once again violated Article 6 § 1 of the Convention.</w:t>
      </w:r>
      <w:r w:rsidR="004C069E" w:rsidRPr="00181BE3">
        <w:rPr>
          <w:rStyle w:val="Odwoanieprzypisudolnego"/>
          <w:rFonts w:ascii="Cambria" w:hAnsi="Cambria"/>
          <w:sz w:val="24"/>
          <w:szCs w:val="24"/>
        </w:rPr>
        <w:footnoteReference w:id="35"/>
      </w:r>
      <w:r w:rsidR="00490194" w:rsidRPr="00181BE3">
        <w:rPr>
          <w:rFonts w:ascii="Cambria" w:hAnsi="Cambria"/>
          <w:sz w:val="24"/>
          <w:szCs w:val="24"/>
        </w:rPr>
        <w:t xml:space="preserve"> </w:t>
      </w:r>
      <w:r w:rsidR="004C069E" w:rsidRPr="00181BE3">
        <w:rPr>
          <w:rFonts w:ascii="Cambria" w:hAnsi="Cambria"/>
          <w:sz w:val="24"/>
          <w:szCs w:val="24"/>
        </w:rPr>
        <w:t xml:space="preserve">Furthermore, in </w:t>
      </w:r>
      <w:proofErr w:type="spellStart"/>
      <w:r w:rsidR="004C069E" w:rsidRPr="00181BE3">
        <w:rPr>
          <w:rFonts w:ascii="Cambria" w:hAnsi="Cambria"/>
          <w:sz w:val="24"/>
          <w:szCs w:val="24"/>
        </w:rPr>
        <w:t>Reczkowicz</w:t>
      </w:r>
      <w:proofErr w:type="spellEnd"/>
      <w:r w:rsidR="004C069E" w:rsidRPr="00181BE3">
        <w:rPr>
          <w:rFonts w:ascii="Cambria" w:hAnsi="Cambria"/>
          <w:sz w:val="24"/>
          <w:szCs w:val="24"/>
        </w:rPr>
        <w:t xml:space="preserve">, </w:t>
      </w:r>
      <w:r w:rsidR="0085089D" w:rsidRPr="00181BE3">
        <w:rPr>
          <w:rFonts w:ascii="Cambria" w:hAnsi="Cambria"/>
          <w:sz w:val="24"/>
          <w:szCs w:val="24"/>
        </w:rPr>
        <w:t xml:space="preserve">the </w:t>
      </w:r>
      <w:r w:rsidR="00DD5B9C" w:rsidRPr="00181BE3">
        <w:rPr>
          <w:rFonts w:ascii="Cambria" w:hAnsi="Cambria"/>
          <w:sz w:val="24"/>
          <w:szCs w:val="24"/>
        </w:rPr>
        <w:t>C</w:t>
      </w:r>
      <w:r w:rsidR="0085089D" w:rsidRPr="00181BE3">
        <w:rPr>
          <w:rFonts w:ascii="Cambria" w:hAnsi="Cambria"/>
          <w:sz w:val="24"/>
          <w:szCs w:val="24"/>
        </w:rPr>
        <w:t xml:space="preserve">ourt </w:t>
      </w:r>
      <w:r w:rsidR="00854D5B" w:rsidRPr="00181BE3">
        <w:rPr>
          <w:rFonts w:ascii="Cambria" w:hAnsi="Cambria"/>
          <w:sz w:val="24"/>
          <w:szCs w:val="24"/>
        </w:rPr>
        <w:t xml:space="preserve">echoed the CJEU’s ruling and found </w:t>
      </w:r>
      <w:r w:rsidR="00DD5B9C" w:rsidRPr="00181BE3">
        <w:rPr>
          <w:rFonts w:ascii="Cambria" w:hAnsi="Cambria"/>
          <w:sz w:val="24"/>
          <w:szCs w:val="24"/>
        </w:rPr>
        <w:t>that the Supreme Court’s Disciplinary Chamber was not a “tribunal established by law” under the aforementioned provision.</w:t>
      </w:r>
      <w:r w:rsidR="0085089D" w:rsidRPr="00181BE3">
        <w:rPr>
          <w:rStyle w:val="Odwoanieprzypisudolnego"/>
          <w:rFonts w:ascii="Cambria" w:hAnsi="Cambria"/>
          <w:sz w:val="24"/>
          <w:szCs w:val="24"/>
        </w:rPr>
        <w:footnoteReference w:id="36"/>
      </w:r>
      <w:r w:rsidR="00DD5B9C" w:rsidRPr="00181BE3">
        <w:rPr>
          <w:rFonts w:ascii="Cambria" w:hAnsi="Cambria"/>
          <w:sz w:val="24"/>
          <w:szCs w:val="24"/>
        </w:rPr>
        <w:t xml:space="preserve"> Those two judgments led to another, final challenge to the Convention by the Prosecutor General’s Office, </w:t>
      </w:r>
      <w:r w:rsidR="00854D5B" w:rsidRPr="00181BE3">
        <w:rPr>
          <w:rFonts w:ascii="Cambria" w:hAnsi="Cambria"/>
          <w:sz w:val="24"/>
          <w:szCs w:val="24"/>
        </w:rPr>
        <w:t>which</w:t>
      </w:r>
      <w:r w:rsidR="00DD5B9C" w:rsidRPr="00181BE3">
        <w:rPr>
          <w:rFonts w:ascii="Cambria" w:hAnsi="Cambria"/>
          <w:sz w:val="24"/>
          <w:szCs w:val="24"/>
        </w:rPr>
        <w:t xml:space="preserve"> contested that:</w:t>
      </w:r>
    </w:p>
    <w:p w14:paraId="2CE3D68A" w14:textId="5CD79873" w:rsidR="00E00089" w:rsidRPr="00181BE3" w:rsidRDefault="00E00089" w:rsidP="00E00089">
      <w:pPr>
        <w:pStyle w:val="Cytat"/>
        <w:spacing w:after="0"/>
        <w:contextualSpacing/>
        <w:rPr>
          <w:rFonts w:ascii="Cambria" w:hAnsi="Cambria"/>
          <w:sz w:val="24"/>
          <w:szCs w:val="24"/>
          <w:lang w:val="en-GB"/>
        </w:rPr>
      </w:pPr>
      <w:r w:rsidRPr="00181BE3">
        <w:rPr>
          <w:rFonts w:ascii="Cambria" w:hAnsi="Cambria"/>
          <w:sz w:val="24"/>
          <w:szCs w:val="24"/>
          <w:lang w:val="en-GB"/>
        </w:rPr>
        <w:t>“</w:t>
      </w:r>
      <w:r w:rsidR="000C226B" w:rsidRPr="00181BE3">
        <w:rPr>
          <w:rFonts w:ascii="Cambria" w:hAnsi="Cambria"/>
          <w:sz w:val="24"/>
          <w:szCs w:val="24"/>
          <w:lang w:val="en-GB"/>
        </w:rPr>
        <w:t xml:space="preserve">… </w:t>
      </w:r>
      <w:r w:rsidRPr="00181BE3">
        <w:rPr>
          <w:rFonts w:ascii="Cambria" w:hAnsi="Cambria"/>
          <w:sz w:val="24"/>
          <w:szCs w:val="24"/>
          <w:lang w:val="en-GB"/>
        </w:rPr>
        <w:t xml:space="preserve">the first sentence of Article 6(1) of [the </w:t>
      </w:r>
      <w:r w:rsidR="00D53AE2" w:rsidRPr="00181BE3">
        <w:rPr>
          <w:rFonts w:ascii="Cambria" w:hAnsi="Cambria"/>
          <w:sz w:val="24"/>
          <w:szCs w:val="24"/>
          <w:lang w:val="en-GB"/>
        </w:rPr>
        <w:t>Convention</w:t>
      </w:r>
      <w:r w:rsidRPr="00181BE3">
        <w:rPr>
          <w:rFonts w:ascii="Cambria" w:hAnsi="Cambria"/>
          <w:sz w:val="24"/>
          <w:szCs w:val="24"/>
          <w:lang w:val="en-GB"/>
        </w:rPr>
        <w:t>], insofar:</w:t>
      </w:r>
    </w:p>
    <w:p w14:paraId="77EE00C2" w14:textId="2FFC5CC9" w:rsidR="00E00089" w:rsidRPr="00181BE3" w:rsidRDefault="001A0F66" w:rsidP="00E00089">
      <w:pPr>
        <w:pStyle w:val="Cytat"/>
        <w:numPr>
          <w:ilvl w:val="0"/>
          <w:numId w:val="5"/>
        </w:numPr>
        <w:contextualSpacing/>
        <w:rPr>
          <w:rFonts w:ascii="Cambria" w:hAnsi="Cambria"/>
          <w:sz w:val="24"/>
          <w:szCs w:val="24"/>
          <w:lang w:val="en-GB"/>
        </w:rPr>
      </w:pPr>
      <w:r w:rsidRPr="00181BE3">
        <w:rPr>
          <w:rFonts w:ascii="Cambria" w:hAnsi="Cambria"/>
          <w:sz w:val="24"/>
          <w:szCs w:val="24"/>
          <w:lang w:val="en-GB"/>
        </w:rPr>
        <w:lastRenderedPageBreak/>
        <w:t xml:space="preserve">as </w:t>
      </w:r>
      <w:r w:rsidR="00154B19" w:rsidRPr="00181BE3">
        <w:rPr>
          <w:rFonts w:ascii="Cambria" w:hAnsi="Cambria"/>
          <w:sz w:val="24"/>
          <w:szCs w:val="24"/>
          <w:lang w:val="en-GB"/>
        </w:rPr>
        <w:t xml:space="preserve">it </w:t>
      </w:r>
      <w:r w:rsidR="00E00089" w:rsidRPr="00181BE3">
        <w:rPr>
          <w:rFonts w:ascii="Cambria" w:hAnsi="Cambria"/>
          <w:sz w:val="24"/>
          <w:szCs w:val="24"/>
          <w:lang w:val="en-GB"/>
        </w:rPr>
        <w:t>empowers the European Court of Human Rights to create, under domestic law, a judicially protected legal right</w:t>
      </w:r>
      <w:r w:rsidR="00154B19" w:rsidRPr="00181BE3">
        <w:rPr>
          <w:rFonts w:ascii="Cambria" w:hAnsi="Cambria"/>
          <w:sz w:val="24"/>
          <w:szCs w:val="24"/>
          <w:lang w:val="en-GB"/>
        </w:rPr>
        <w:t xml:space="preserve"> to hold an administrative office in the organizational structure of the common judiciary of the Republic of Poland is inconsistent with Articles 8(1), 89(1)(2) and 176(2) of the Constitution of the Republic of Poland; </w:t>
      </w:r>
    </w:p>
    <w:p w14:paraId="24739BF0" w14:textId="6C685120" w:rsidR="00E00089" w:rsidRPr="00181BE3" w:rsidRDefault="001A0F66" w:rsidP="00E00089">
      <w:pPr>
        <w:pStyle w:val="Cytat"/>
        <w:numPr>
          <w:ilvl w:val="0"/>
          <w:numId w:val="5"/>
        </w:numPr>
        <w:contextualSpacing/>
        <w:rPr>
          <w:rFonts w:ascii="Cambria" w:hAnsi="Cambria"/>
          <w:sz w:val="24"/>
          <w:szCs w:val="24"/>
          <w:lang w:val="en-GB"/>
        </w:rPr>
      </w:pPr>
      <w:r w:rsidRPr="00181BE3">
        <w:rPr>
          <w:rFonts w:ascii="Cambria" w:hAnsi="Cambria"/>
          <w:sz w:val="24"/>
          <w:szCs w:val="24"/>
          <w:lang w:val="en-GB"/>
        </w:rPr>
        <w:t xml:space="preserve">as </w:t>
      </w:r>
      <w:r w:rsidR="00154B19" w:rsidRPr="00181BE3">
        <w:rPr>
          <w:rFonts w:ascii="Cambria" w:hAnsi="Cambria"/>
          <w:sz w:val="24"/>
          <w:szCs w:val="24"/>
          <w:lang w:val="en-GB"/>
        </w:rPr>
        <w:t xml:space="preserve">the condition “tribunal established by law” contained in this provision does not include, being the basis for the establishment of </w:t>
      </w:r>
      <w:r w:rsidR="00C743D2" w:rsidRPr="00181BE3">
        <w:rPr>
          <w:rFonts w:ascii="Cambria" w:hAnsi="Cambria"/>
          <w:sz w:val="24"/>
          <w:szCs w:val="24"/>
          <w:lang w:val="en-GB"/>
        </w:rPr>
        <w:t>a</w:t>
      </w:r>
      <w:r w:rsidR="00154B19" w:rsidRPr="00181BE3">
        <w:rPr>
          <w:rFonts w:ascii="Cambria" w:hAnsi="Cambria"/>
          <w:sz w:val="24"/>
          <w:szCs w:val="24"/>
          <w:lang w:val="en-GB"/>
        </w:rPr>
        <w:t xml:space="preserve"> court, generally applicable provisions of the Constitution of Poland, the statutes</w:t>
      </w:r>
      <w:r w:rsidR="00C743D2" w:rsidRPr="00181BE3">
        <w:rPr>
          <w:rFonts w:ascii="Cambria" w:hAnsi="Cambria"/>
          <w:sz w:val="24"/>
          <w:szCs w:val="24"/>
          <w:lang w:val="en-GB"/>
        </w:rPr>
        <w:t>,</w:t>
      </w:r>
      <w:r w:rsidR="00154B19" w:rsidRPr="00181BE3">
        <w:rPr>
          <w:rFonts w:ascii="Cambria" w:hAnsi="Cambria"/>
          <w:sz w:val="24"/>
          <w:szCs w:val="24"/>
          <w:lang w:val="en-GB"/>
        </w:rPr>
        <w:t xml:space="preserve"> as well as final and generally applicable provisions of the Polish Constitutional Tribunal, is inconsistent with Articles 89(1)(2); 176(2); 179 in conjunction with Article 187(1) in conjunction with Article 187(4); as well as with Article 190(1) of the Polish Constitution;</w:t>
      </w:r>
    </w:p>
    <w:p w14:paraId="4AE282DF" w14:textId="1C56C1DB" w:rsidR="00E00089" w:rsidRPr="00181BE3" w:rsidRDefault="001A0F66" w:rsidP="00E00089">
      <w:pPr>
        <w:pStyle w:val="Cytat"/>
        <w:numPr>
          <w:ilvl w:val="0"/>
          <w:numId w:val="5"/>
        </w:numPr>
        <w:contextualSpacing/>
        <w:rPr>
          <w:rFonts w:ascii="Cambria" w:hAnsi="Cambria"/>
          <w:sz w:val="24"/>
          <w:szCs w:val="24"/>
          <w:lang w:val="en-GB"/>
        </w:rPr>
      </w:pPr>
      <w:r w:rsidRPr="00181BE3">
        <w:rPr>
          <w:rFonts w:ascii="Cambria" w:hAnsi="Cambria"/>
          <w:sz w:val="24"/>
          <w:szCs w:val="24"/>
          <w:lang w:val="en-GB"/>
        </w:rPr>
        <w:t xml:space="preserve">as </w:t>
      </w:r>
      <w:r w:rsidR="00154B19" w:rsidRPr="00181BE3">
        <w:rPr>
          <w:rFonts w:ascii="Cambria" w:hAnsi="Cambria"/>
          <w:sz w:val="24"/>
          <w:szCs w:val="24"/>
          <w:lang w:val="en-GB"/>
        </w:rPr>
        <w:t>it allows the national or international courts to assess the compatibility with the Constitution of the Republic of Poland and with the [</w:t>
      </w:r>
      <w:r w:rsidR="00C743D2" w:rsidRPr="00181BE3">
        <w:rPr>
          <w:rFonts w:ascii="Cambria" w:hAnsi="Cambria"/>
          <w:sz w:val="24"/>
          <w:szCs w:val="24"/>
          <w:lang w:val="en-GB"/>
        </w:rPr>
        <w:t>Convention</w:t>
      </w:r>
      <w:r w:rsidR="00154B19" w:rsidRPr="00181BE3">
        <w:rPr>
          <w:rFonts w:ascii="Cambria" w:hAnsi="Cambria"/>
          <w:sz w:val="24"/>
          <w:szCs w:val="24"/>
          <w:lang w:val="en-GB"/>
        </w:rPr>
        <w:t xml:space="preserve">] of statutes regarding the organization of the judiciary, the jurisdiction of the courts and the act regarding the [NCJ], in order to establish the compliance with the condition of “a tribunal established by law”, is inconsistent with Art. 188(1) and (2) of the </w:t>
      </w:r>
      <w:r w:rsidR="004D4046" w:rsidRPr="00181BE3">
        <w:rPr>
          <w:rFonts w:ascii="Cambria" w:hAnsi="Cambria"/>
          <w:sz w:val="24"/>
          <w:szCs w:val="24"/>
          <w:lang w:val="en-GB"/>
        </w:rPr>
        <w:t xml:space="preserve">Polish </w:t>
      </w:r>
      <w:r w:rsidR="00154B19" w:rsidRPr="00181BE3">
        <w:rPr>
          <w:rFonts w:ascii="Cambria" w:hAnsi="Cambria"/>
          <w:sz w:val="24"/>
          <w:szCs w:val="24"/>
          <w:lang w:val="en-GB"/>
        </w:rPr>
        <w:t>Constitution.</w:t>
      </w:r>
      <w:r w:rsidR="007227B5" w:rsidRPr="00181BE3">
        <w:rPr>
          <w:rFonts w:ascii="Cambria" w:hAnsi="Cambria"/>
          <w:sz w:val="24"/>
          <w:szCs w:val="24"/>
          <w:lang w:val="en-GB"/>
        </w:rPr>
        <w:t>”</w:t>
      </w:r>
      <w:r w:rsidR="007227B5" w:rsidRPr="00181BE3">
        <w:rPr>
          <w:rStyle w:val="Odwoanieprzypisudolnego"/>
          <w:rFonts w:ascii="Cambria" w:hAnsi="Cambria"/>
          <w:sz w:val="24"/>
          <w:szCs w:val="24"/>
          <w:lang w:val="en-GB"/>
        </w:rPr>
        <w:footnoteReference w:id="37"/>
      </w:r>
    </w:p>
    <w:p w14:paraId="032784B8" w14:textId="39B4EB18" w:rsidR="0096055E" w:rsidRPr="00181BE3" w:rsidRDefault="0096055E" w:rsidP="0096055E">
      <w:pPr>
        <w:rPr>
          <w:rFonts w:ascii="Cambria" w:hAnsi="Cambria"/>
          <w:sz w:val="24"/>
          <w:szCs w:val="24"/>
          <w:lang w:val="en-GB"/>
        </w:rPr>
      </w:pPr>
      <w:r w:rsidRPr="00181BE3">
        <w:rPr>
          <w:rFonts w:ascii="Cambria" w:hAnsi="Cambria"/>
          <w:sz w:val="24"/>
          <w:szCs w:val="24"/>
          <w:lang w:val="en-GB"/>
        </w:rPr>
        <w:t xml:space="preserve">The text of the complaint was later amended as to the third dash, as the ECHR published another landmark decision </w:t>
      </w:r>
      <w:r w:rsidR="002027A2" w:rsidRPr="00181BE3">
        <w:rPr>
          <w:rFonts w:ascii="Cambria" w:hAnsi="Cambria"/>
          <w:sz w:val="24"/>
          <w:szCs w:val="24"/>
          <w:lang w:val="en-GB"/>
        </w:rPr>
        <w:t xml:space="preserve">regarding the judiciary in Poland </w:t>
      </w:r>
      <w:r w:rsidRPr="00181BE3">
        <w:rPr>
          <w:rFonts w:ascii="Cambria" w:hAnsi="Cambria"/>
          <w:sz w:val="24"/>
          <w:szCs w:val="24"/>
          <w:lang w:val="en-GB"/>
        </w:rPr>
        <w:t xml:space="preserve">on </w:t>
      </w:r>
      <w:r w:rsidR="00F76E68" w:rsidRPr="00181BE3">
        <w:rPr>
          <w:rFonts w:ascii="Cambria" w:hAnsi="Cambria"/>
          <w:sz w:val="24"/>
          <w:szCs w:val="24"/>
          <w:lang w:val="en-GB"/>
        </w:rPr>
        <w:t>November</w:t>
      </w:r>
      <w:r w:rsidRPr="00181BE3">
        <w:rPr>
          <w:rFonts w:ascii="Cambria" w:hAnsi="Cambria"/>
          <w:sz w:val="24"/>
          <w:szCs w:val="24"/>
          <w:lang w:val="en-GB"/>
        </w:rPr>
        <w:t xml:space="preserve"> 8, 2021.</w:t>
      </w:r>
      <w:r w:rsidRPr="00181BE3">
        <w:rPr>
          <w:rStyle w:val="Odwoanieprzypisudolnego"/>
          <w:rFonts w:ascii="Cambria" w:hAnsi="Cambria"/>
          <w:sz w:val="24"/>
          <w:szCs w:val="24"/>
          <w:lang w:val="en-GB"/>
        </w:rPr>
        <w:footnoteReference w:id="38"/>
      </w:r>
    </w:p>
    <w:p w14:paraId="1F8F6827" w14:textId="713B7B64" w:rsidR="006151E1" w:rsidRPr="00181BE3" w:rsidRDefault="006B5CF7" w:rsidP="00443315">
      <w:pPr>
        <w:pStyle w:val="NormalIndented"/>
        <w:ind w:firstLine="709"/>
        <w:rPr>
          <w:rFonts w:ascii="Cambria" w:hAnsi="Cambria"/>
          <w:sz w:val="24"/>
          <w:szCs w:val="24"/>
        </w:rPr>
      </w:pPr>
      <w:r w:rsidRPr="00181BE3">
        <w:rPr>
          <w:rFonts w:ascii="Cambria" w:hAnsi="Cambria"/>
          <w:sz w:val="24"/>
          <w:szCs w:val="24"/>
        </w:rPr>
        <w:t>The Prosecutor General enjoyed the support of the President, the Marshal of the Sejm and the National Council of the Judiciary (as amicus curiae). The Commissioner for Human Rights was the sole dissenter, while the Minister for Foreign Affairs once again filed the same nonindicative opinion. The Tribunal’s five-judge panel once again unanimously agreed with the government.</w:t>
      </w:r>
      <w:r w:rsidRPr="00181BE3">
        <w:rPr>
          <w:rStyle w:val="Odwoanieprzypisudolnego"/>
          <w:rFonts w:ascii="Cambria" w:hAnsi="Cambria"/>
          <w:sz w:val="24"/>
          <w:szCs w:val="24"/>
        </w:rPr>
        <w:footnoteReference w:id="39"/>
      </w:r>
    </w:p>
    <w:p w14:paraId="170ABF87" w14:textId="4C4C5E26" w:rsidR="00B50BF4" w:rsidRPr="00181BE3" w:rsidRDefault="00394384" w:rsidP="00394384">
      <w:pPr>
        <w:pStyle w:val="Nagwek2"/>
        <w:rPr>
          <w:rFonts w:ascii="Cambria" w:hAnsi="Cambria"/>
          <w:sz w:val="24"/>
          <w:szCs w:val="24"/>
        </w:rPr>
      </w:pPr>
      <w:r w:rsidRPr="00181BE3">
        <w:rPr>
          <w:rFonts w:ascii="Cambria" w:hAnsi="Cambria"/>
          <w:sz w:val="24"/>
          <w:szCs w:val="24"/>
        </w:rPr>
        <w:t xml:space="preserve">VI. </w:t>
      </w:r>
      <w:r w:rsidR="003038A5" w:rsidRPr="00181BE3">
        <w:rPr>
          <w:rFonts w:ascii="Cambria" w:hAnsi="Cambria"/>
          <w:sz w:val="24"/>
          <w:szCs w:val="24"/>
        </w:rPr>
        <w:t>Conclusion</w:t>
      </w:r>
      <w:r w:rsidR="006C6686" w:rsidRPr="00181BE3">
        <w:rPr>
          <w:rFonts w:ascii="Cambria" w:hAnsi="Cambria"/>
          <w:sz w:val="24"/>
          <w:szCs w:val="24"/>
        </w:rPr>
        <w:t>s</w:t>
      </w:r>
    </w:p>
    <w:p w14:paraId="17F1DCD9" w14:textId="2832C3E4" w:rsidR="002027A2" w:rsidRPr="00181BE3" w:rsidRDefault="00776DC7" w:rsidP="00C82B60">
      <w:pPr>
        <w:pStyle w:val="NormalIndented"/>
        <w:rPr>
          <w:rFonts w:ascii="Cambria" w:hAnsi="Cambria"/>
          <w:sz w:val="24"/>
          <w:szCs w:val="24"/>
        </w:rPr>
      </w:pPr>
      <w:r w:rsidRPr="00181BE3">
        <w:rPr>
          <w:rFonts w:ascii="Cambria" w:hAnsi="Cambria"/>
          <w:sz w:val="24"/>
          <w:szCs w:val="24"/>
        </w:rPr>
        <w:lastRenderedPageBreak/>
        <w:t>All of the four decisions of the Tribunal analysed in this paper</w:t>
      </w:r>
      <w:r w:rsidR="0096055E" w:rsidRPr="00181BE3">
        <w:rPr>
          <w:rFonts w:ascii="Cambria" w:hAnsi="Cambria"/>
          <w:sz w:val="24"/>
          <w:szCs w:val="24"/>
        </w:rPr>
        <w:t xml:space="preserve"> included the so-called “doppelganger Judges”—that is persons appointed to seats already filled by other judges—on the bench</w:t>
      </w:r>
      <w:r w:rsidR="00F106BB" w:rsidRPr="00181BE3">
        <w:rPr>
          <w:rFonts w:ascii="Cambria" w:hAnsi="Cambria"/>
          <w:sz w:val="24"/>
          <w:szCs w:val="24"/>
        </w:rPr>
        <w:t>, in violation of both national and international law</w:t>
      </w:r>
      <w:r w:rsidR="0096055E" w:rsidRPr="00181BE3">
        <w:rPr>
          <w:rFonts w:ascii="Cambria" w:hAnsi="Cambria"/>
          <w:sz w:val="24"/>
          <w:szCs w:val="24"/>
        </w:rPr>
        <w:t>. As such, the legitimacy of the Court to issue any decisions in such a</w:t>
      </w:r>
      <w:r w:rsidR="00F106BB" w:rsidRPr="00181BE3">
        <w:rPr>
          <w:rFonts w:ascii="Cambria" w:hAnsi="Cambria"/>
          <w:sz w:val="24"/>
          <w:szCs w:val="24"/>
        </w:rPr>
        <w:t xml:space="preserve"> </w:t>
      </w:r>
      <w:r w:rsidR="0096055E" w:rsidRPr="00181BE3">
        <w:rPr>
          <w:rFonts w:ascii="Cambria" w:hAnsi="Cambria"/>
          <w:sz w:val="24"/>
          <w:szCs w:val="24"/>
        </w:rPr>
        <w:t>panel has been questioned</w:t>
      </w:r>
      <w:r w:rsidR="002027A2" w:rsidRPr="00181BE3">
        <w:rPr>
          <w:rFonts w:ascii="Cambria" w:hAnsi="Cambria"/>
          <w:sz w:val="24"/>
          <w:szCs w:val="24"/>
        </w:rPr>
        <w:t xml:space="preserve"> (by </w:t>
      </w:r>
      <w:r w:rsidR="00850582" w:rsidRPr="00181BE3">
        <w:rPr>
          <w:rFonts w:ascii="Cambria" w:hAnsi="Cambria"/>
          <w:sz w:val="24"/>
          <w:szCs w:val="24"/>
        </w:rPr>
        <w:t xml:space="preserve">the vast majority of </w:t>
      </w:r>
      <w:r w:rsidR="00F106BB" w:rsidRPr="00181BE3">
        <w:rPr>
          <w:rFonts w:ascii="Cambria" w:hAnsi="Cambria"/>
          <w:sz w:val="24"/>
          <w:szCs w:val="24"/>
        </w:rPr>
        <w:t xml:space="preserve">Polish </w:t>
      </w:r>
      <w:r w:rsidR="002027A2" w:rsidRPr="00181BE3">
        <w:rPr>
          <w:rFonts w:ascii="Cambria" w:hAnsi="Cambria"/>
          <w:sz w:val="24"/>
          <w:szCs w:val="24"/>
        </w:rPr>
        <w:t xml:space="preserve">doctrine as well as </w:t>
      </w:r>
      <w:r w:rsidR="00F106BB" w:rsidRPr="00181BE3">
        <w:rPr>
          <w:rFonts w:ascii="Cambria" w:hAnsi="Cambria"/>
          <w:sz w:val="24"/>
          <w:szCs w:val="24"/>
        </w:rPr>
        <w:t xml:space="preserve">by </w:t>
      </w:r>
      <w:r w:rsidR="002027A2" w:rsidRPr="00181BE3">
        <w:rPr>
          <w:rFonts w:ascii="Cambria" w:hAnsi="Cambria"/>
          <w:sz w:val="24"/>
          <w:szCs w:val="24"/>
        </w:rPr>
        <w:t>the CJEU and ECHR themselves)</w:t>
      </w:r>
      <w:r w:rsidR="0096055E" w:rsidRPr="00181BE3">
        <w:rPr>
          <w:rFonts w:ascii="Cambria" w:hAnsi="Cambria"/>
          <w:sz w:val="24"/>
          <w:szCs w:val="24"/>
        </w:rPr>
        <w:t>.</w:t>
      </w:r>
      <w:r w:rsidR="002027A2" w:rsidRPr="00181BE3">
        <w:rPr>
          <w:rFonts w:ascii="Cambria" w:hAnsi="Cambria"/>
          <w:sz w:val="24"/>
          <w:szCs w:val="24"/>
        </w:rPr>
        <w:t xml:space="preserve"> Per the Batory Foundation “according to the rule of primacy of EU law over national law, even that of constitutional rank, the courts should disregard the judgment of the Tribunal.”</w:t>
      </w:r>
      <w:r w:rsidR="002027A2" w:rsidRPr="00181BE3">
        <w:rPr>
          <w:rStyle w:val="Odwoanieprzypisudolnego"/>
          <w:rFonts w:ascii="Cambria" w:hAnsi="Cambria"/>
          <w:sz w:val="24"/>
          <w:szCs w:val="24"/>
        </w:rPr>
        <w:footnoteReference w:id="40"/>
      </w:r>
      <w:r w:rsidR="001E2654" w:rsidRPr="00181BE3">
        <w:rPr>
          <w:rFonts w:ascii="Cambria" w:hAnsi="Cambria"/>
          <w:sz w:val="24"/>
          <w:szCs w:val="24"/>
        </w:rPr>
        <w:t xml:space="preserve"> And yet, despite </w:t>
      </w:r>
      <w:r w:rsidR="00850582" w:rsidRPr="00181BE3">
        <w:rPr>
          <w:rFonts w:ascii="Cambria" w:hAnsi="Cambria"/>
          <w:sz w:val="24"/>
          <w:szCs w:val="24"/>
        </w:rPr>
        <w:t>th</w:t>
      </w:r>
      <w:r w:rsidR="00E00DC8" w:rsidRPr="00181BE3">
        <w:rPr>
          <w:rFonts w:ascii="Cambria" w:hAnsi="Cambria"/>
          <w:sz w:val="24"/>
          <w:szCs w:val="24"/>
        </w:rPr>
        <w:t>is</w:t>
      </w:r>
      <w:r w:rsidR="00850582" w:rsidRPr="00181BE3">
        <w:rPr>
          <w:rFonts w:ascii="Cambria" w:hAnsi="Cambria"/>
          <w:sz w:val="24"/>
          <w:szCs w:val="24"/>
        </w:rPr>
        <w:t xml:space="preserve"> widespread </w:t>
      </w:r>
      <w:r w:rsidR="00E00DC8" w:rsidRPr="00181BE3">
        <w:rPr>
          <w:rFonts w:ascii="Cambria" w:hAnsi="Cambria"/>
          <w:sz w:val="24"/>
          <w:szCs w:val="24"/>
        </w:rPr>
        <w:t>interpretation</w:t>
      </w:r>
      <w:r w:rsidR="001E2654" w:rsidRPr="00181BE3">
        <w:rPr>
          <w:rFonts w:ascii="Cambria" w:hAnsi="Cambria"/>
          <w:sz w:val="24"/>
          <w:szCs w:val="24"/>
        </w:rPr>
        <w:t>, the four decisions of the Tribunal have been widely cited by other courts, particularly by the Polish Supreme Court. The first ruling in P 7/20</w:t>
      </w:r>
      <w:r w:rsidR="001E2654" w:rsidRPr="00181BE3">
        <w:rPr>
          <w:rFonts w:ascii="Cambria" w:hAnsi="Cambria"/>
          <w:b/>
          <w:bCs/>
          <w:sz w:val="24"/>
          <w:szCs w:val="24"/>
        </w:rPr>
        <w:t xml:space="preserve"> </w:t>
      </w:r>
      <w:r w:rsidR="001E2654" w:rsidRPr="00181BE3">
        <w:rPr>
          <w:rFonts w:ascii="Cambria" w:hAnsi="Cambria"/>
          <w:sz w:val="24"/>
          <w:szCs w:val="24"/>
        </w:rPr>
        <w:t xml:space="preserve">was cited </w:t>
      </w:r>
      <w:r w:rsidR="006D0044" w:rsidRPr="00181BE3">
        <w:rPr>
          <w:rFonts w:ascii="Cambria" w:hAnsi="Cambria"/>
          <w:sz w:val="24"/>
          <w:szCs w:val="24"/>
        </w:rPr>
        <w:t xml:space="preserve">in court decisions over 120 </w:t>
      </w:r>
      <w:r w:rsidR="001E2654" w:rsidRPr="00181BE3">
        <w:rPr>
          <w:rFonts w:ascii="Cambria" w:hAnsi="Cambria"/>
          <w:sz w:val="24"/>
          <w:szCs w:val="24"/>
        </w:rPr>
        <w:t>times (according to the “Lex” Legal Information System)</w:t>
      </w:r>
      <w:r w:rsidR="006D0044" w:rsidRPr="00181BE3">
        <w:rPr>
          <w:rFonts w:ascii="Cambria" w:hAnsi="Cambria"/>
          <w:sz w:val="24"/>
          <w:szCs w:val="24"/>
        </w:rPr>
        <w:t xml:space="preserve">, </w:t>
      </w:r>
      <w:r w:rsidR="007B295A" w:rsidRPr="00181BE3">
        <w:rPr>
          <w:rFonts w:ascii="Cambria" w:hAnsi="Cambria"/>
          <w:sz w:val="24"/>
          <w:szCs w:val="24"/>
        </w:rPr>
        <w:t xml:space="preserve">with </w:t>
      </w:r>
      <w:r w:rsidR="006D0044" w:rsidRPr="00181BE3">
        <w:rPr>
          <w:rFonts w:ascii="Cambria" w:hAnsi="Cambria"/>
          <w:sz w:val="24"/>
          <w:szCs w:val="24"/>
        </w:rPr>
        <w:t>over 90% of such citations being made by the Supreme Court.</w:t>
      </w:r>
      <w:r w:rsidR="00394A40" w:rsidRPr="00181BE3">
        <w:rPr>
          <w:rFonts w:ascii="Cambria" w:hAnsi="Cambria"/>
          <w:sz w:val="24"/>
          <w:szCs w:val="24"/>
        </w:rPr>
        <w:t xml:space="preserve"> Some Justices deny the Tribunal’s rulings any binding force. “Such interpretative judgments of the Constitutional Tribunal, which don’t result in the loss of the binding force of provisions, do not bind independent courts, particularly the Supreme Court.”</w:t>
      </w:r>
      <w:r w:rsidR="00394A40" w:rsidRPr="00181BE3">
        <w:rPr>
          <w:rStyle w:val="Odwoanieprzypisudolnego"/>
          <w:rFonts w:ascii="Cambria" w:hAnsi="Cambria"/>
          <w:sz w:val="24"/>
          <w:szCs w:val="24"/>
        </w:rPr>
        <w:footnoteReference w:id="41"/>
      </w:r>
      <w:r w:rsidR="003F282F" w:rsidRPr="00181BE3">
        <w:rPr>
          <w:rFonts w:ascii="Cambria" w:hAnsi="Cambria"/>
          <w:sz w:val="24"/>
          <w:szCs w:val="24"/>
        </w:rPr>
        <w:t xml:space="preserve"> Voices to the contrary, though less prevalent, can also be found. “The Constitutional Tribunal’s rulings are generally binding, which results in an inability of a subsequent application by a Court of a regulation which the Tribunal found to be incompatible with the Constitution.”</w:t>
      </w:r>
      <w:r w:rsidR="003F282F" w:rsidRPr="00181BE3">
        <w:rPr>
          <w:rStyle w:val="Odwoanieprzypisudolnego"/>
          <w:rFonts w:ascii="Cambria" w:hAnsi="Cambria"/>
          <w:sz w:val="24"/>
          <w:szCs w:val="24"/>
        </w:rPr>
        <w:footnoteReference w:id="42"/>
      </w:r>
    </w:p>
    <w:p w14:paraId="27B8B346" w14:textId="79283076" w:rsidR="00776DC7" w:rsidRPr="00181BE3" w:rsidRDefault="003576B2" w:rsidP="003576B2">
      <w:pPr>
        <w:pStyle w:val="NormalIndented"/>
        <w:rPr>
          <w:rFonts w:ascii="Cambria" w:hAnsi="Cambria"/>
          <w:sz w:val="24"/>
          <w:szCs w:val="24"/>
        </w:rPr>
      </w:pPr>
      <w:r w:rsidRPr="00181BE3">
        <w:rPr>
          <w:rFonts w:ascii="Cambria" w:hAnsi="Cambria"/>
          <w:sz w:val="24"/>
          <w:szCs w:val="24"/>
        </w:rPr>
        <w:t>Following the decisions in cases P 7/20 and K 3/21, the European Commission filed another complaint against Poland with the CJEU, that the country has “failed to fulfil its obligations under the general principles of autonomy, primacy, effectiveness and uniform application of EU law and the principle of the binding effect of judgments of the Court of Justice.”</w:t>
      </w:r>
      <w:r w:rsidRPr="00181BE3">
        <w:rPr>
          <w:rStyle w:val="Odwoanieprzypisudolnego"/>
          <w:rFonts w:ascii="Cambria" w:hAnsi="Cambria"/>
          <w:sz w:val="24"/>
          <w:szCs w:val="24"/>
        </w:rPr>
        <w:footnoteReference w:id="43"/>
      </w:r>
      <w:r w:rsidRPr="00181BE3">
        <w:rPr>
          <w:rFonts w:ascii="Cambria" w:hAnsi="Cambria"/>
          <w:sz w:val="24"/>
          <w:szCs w:val="24"/>
        </w:rPr>
        <w:t xml:space="preserve"> The Commission also called on the Court of Justice to declare that, “since the Tribunal does not satisfy the requirements of an independent and impartial tribunal previously established by law as a result of irregularities in the procedures for the appointment of three judges … Poland has failed to fulfil its obligations under the second </w:t>
      </w:r>
      <w:r w:rsidRPr="00181BE3">
        <w:rPr>
          <w:rFonts w:ascii="Cambria" w:hAnsi="Cambria"/>
          <w:sz w:val="24"/>
          <w:szCs w:val="24"/>
        </w:rPr>
        <w:lastRenderedPageBreak/>
        <w:t>subparagraph of Article 19(1) TEU.”</w:t>
      </w:r>
      <w:r w:rsidRPr="00181BE3">
        <w:rPr>
          <w:rStyle w:val="Odwoanieprzypisudolnego"/>
          <w:rFonts w:ascii="Cambria" w:hAnsi="Cambria"/>
          <w:sz w:val="24"/>
          <w:szCs w:val="24"/>
        </w:rPr>
        <w:footnoteReference w:id="44"/>
      </w:r>
      <w:r w:rsidRPr="00181BE3">
        <w:rPr>
          <w:rFonts w:ascii="Cambria" w:hAnsi="Cambria"/>
          <w:sz w:val="24"/>
          <w:szCs w:val="24"/>
        </w:rPr>
        <w:t xml:space="preserve"> Meanwhile,</w:t>
      </w:r>
      <w:r w:rsidR="00776DC7" w:rsidRPr="00181BE3">
        <w:rPr>
          <w:rFonts w:ascii="Cambria" w:hAnsi="Cambria"/>
          <w:sz w:val="24"/>
          <w:szCs w:val="24"/>
        </w:rPr>
        <w:t xml:space="preserve"> the European Court of Human Rights once again undermined the position of the Polish Tribunal </w:t>
      </w:r>
      <w:r w:rsidR="00A97772" w:rsidRPr="00181BE3">
        <w:rPr>
          <w:rFonts w:ascii="Cambria" w:hAnsi="Cambria"/>
          <w:sz w:val="24"/>
          <w:szCs w:val="24"/>
        </w:rPr>
        <w:t xml:space="preserve">in 2023, </w:t>
      </w:r>
      <w:r w:rsidR="006211D9" w:rsidRPr="00181BE3">
        <w:rPr>
          <w:rFonts w:ascii="Cambria" w:hAnsi="Cambria"/>
          <w:sz w:val="24"/>
          <w:szCs w:val="24"/>
        </w:rPr>
        <w:t xml:space="preserve">affirming the decision in Xero Flor, and denying the Tribunal the character of a “tribunal established under law.” </w:t>
      </w:r>
      <w:r w:rsidR="000236E2" w:rsidRPr="00181BE3">
        <w:rPr>
          <w:rFonts w:ascii="Cambria" w:hAnsi="Cambria"/>
          <w:sz w:val="24"/>
          <w:szCs w:val="24"/>
        </w:rPr>
        <w:t xml:space="preserve">The ECtHR disregarded the decisions in K 6/21 and K 7/21, declaring the adjudicating panel as improperly staffed. </w:t>
      </w:r>
      <w:r w:rsidR="006211D9" w:rsidRPr="00181BE3">
        <w:rPr>
          <w:rFonts w:ascii="Cambria" w:hAnsi="Cambria"/>
          <w:sz w:val="24"/>
          <w:szCs w:val="24"/>
        </w:rPr>
        <w:t xml:space="preserve">“At the same time [The Court] has no doubt that the Constitutional Court should be regarded as a ‘tribunal’ within the meaning of Article 6 § 1. In the present case, the fact that the bench of the Constitutional Court … included Judge M. </w:t>
      </w:r>
      <w:proofErr w:type="spellStart"/>
      <w:r w:rsidR="006211D9" w:rsidRPr="00181BE3">
        <w:rPr>
          <w:rFonts w:ascii="Cambria" w:hAnsi="Cambria"/>
          <w:sz w:val="24"/>
          <w:szCs w:val="24"/>
        </w:rPr>
        <w:t>Muszyński</w:t>
      </w:r>
      <w:proofErr w:type="spellEnd"/>
      <w:r w:rsidR="006211D9" w:rsidRPr="00181BE3">
        <w:rPr>
          <w:rFonts w:ascii="Cambria" w:hAnsi="Cambria"/>
          <w:sz w:val="24"/>
          <w:szCs w:val="24"/>
        </w:rPr>
        <w:t xml:space="preserve"> … is by itself capable of vitiating the legal force to be attached to that judgment.</w:t>
      </w:r>
      <w:r w:rsidR="00CD0187" w:rsidRPr="00181BE3">
        <w:rPr>
          <w:rFonts w:ascii="Cambria" w:hAnsi="Cambria"/>
          <w:sz w:val="24"/>
          <w:szCs w:val="24"/>
        </w:rPr>
        <w:t>”</w:t>
      </w:r>
      <w:r w:rsidR="006211D9" w:rsidRPr="00181BE3">
        <w:rPr>
          <w:rStyle w:val="Odwoanieprzypisudolnego"/>
          <w:rFonts w:ascii="Cambria" w:hAnsi="Cambria"/>
          <w:sz w:val="24"/>
          <w:szCs w:val="24"/>
        </w:rPr>
        <w:footnoteReference w:id="45"/>
      </w:r>
    </w:p>
    <w:p w14:paraId="78EF0EA3" w14:textId="090989C5" w:rsidR="00BB31AE" w:rsidRPr="00181BE3" w:rsidRDefault="00C82B60" w:rsidP="00D32B47">
      <w:pPr>
        <w:pStyle w:val="NormalIndented"/>
        <w:rPr>
          <w:rFonts w:ascii="Cambria" w:hAnsi="Cambria"/>
          <w:sz w:val="24"/>
          <w:szCs w:val="24"/>
        </w:rPr>
      </w:pPr>
      <w:r w:rsidRPr="00181BE3">
        <w:rPr>
          <w:rFonts w:ascii="Cambria" w:hAnsi="Cambria"/>
          <w:sz w:val="24"/>
          <w:szCs w:val="24"/>
        </w:rPr>
        <w:t xml:space="preserve">In summary, the decisions in cases P 7/20, K 3/21, K 6/21 and K 7/21 did not resolve the conflict between the Government of Poland and </w:t>
      </w:r>
      <w:r w:rsidR="00D91D40" w:rsidRPr="00181BE3">
        <w:rPr>
          <w:rFonts w:ascii="Cambria" w:hAnsi="Cambria"/>
          <w:sz w:val="24"/>
          <w:szCs w:val="24"/>
        </w:rPr>
        <w:t xml:space="preserve">the </w:t>
      </w:r>
      <w:r w:rsidRPr="00181BE3">
        <w:rPr>
          <w:rFonts w:ascii="Cambria" w:hAnsi="Cambria"/>
          <w:sz w:val="24"/>
          <w:szCs w:val="24"/>
        </w:rPr>
        <w:t>international organizations that Poland is a part of</w:t>
      </w:r>
      <w:r w:rsidR="00D91D40" w:rsidRPr="00181BE3">
        <w:rPr>
          <w:rFonts w:ascii="Cambria" w:hAnsi="Cambria"/>
          <w:sz w:val="24"/>
          <w:szCs w:val="24"/>
        </w:rPr>
        <w:t xml:space="preserve"> (EU, Council of Europe).</w:t>
      </w:r>
      <w:r w:rsidR="001C1195" w:rsidRPr="00181BE3">
        <w:rPr>
          <w:rFonts w:ascii="Cambria" w:hAnsi="Cambria"/>
          <w:sz w:val="24"/>
          <w:szCs w:val="24"/>
        </w:rPr>
        <w:t xml:space="preserve"> One could even argue that the aforementioned decisions resulted in a deepening of the conflict, “allow[</w:t>
      </w:r>
      <w:proofErr w:type="spellStart"/>
      <w:r w:rsidR="001C1195" w:rsidRPr="00181BE3">
        <w:rPr>
          <w:rFonts w:ascii="Cambria" w:hAnsi="Cambria"/>
          <w:sz w:val="24"/>
          <w:szCs w:val="24"/>
        </w:rPr>
        <w:t>ing</w:t>
      </w:r>
      <w:proofErr w:type="spellEnd"/>
      <w:r w:rsidR="001C1195" w:rsidRPr="00181BE3">
        <w:rPr>
          <w:rFonts w:ascii="Cambria" w:hAnsi="Cambria"/>
          <w:sz w:val="24"/>
          <w:szCs w:val="24"/>
        </w:rPr>
        <w:t xml:space="preserve">] the PiS government not only to remove an obstacle to promoting their </w:t>
      </w:r>
      <w:r w:rsidR="00F37CF2" w:rsidRPr="00181BE3">
        <w:rPr>
          <w:rFonts w:ascii="Cambria" w:hAnsi="Cambria"/>
          <w:sz w:val="24"/>
          <w:szCs w:val="24"/>
        </w:rPr>
        <w:t>often-unconstitutional</w:t>
      </w:r>
      <w:r w:rsidR="001C1195" w:rsidRPr="00181BE3">
        <w:rPr>
          <w:rFonts w:ascii="Cambria" w:hAnsi="Cambria"/>
          <w:sz w:val="24"/>
          <w:szCs w:val="24"/>
        </w:rPr>
        <w:t xml:space="preserve"> policies but to actively use the Constitutional Tribunal for political ends.”</w:t>
      </w:r>
      <w:r w:rsidR="001C1195" w:rsidRPr="00181BE3">
        <w:rPr>
          <w:rStyle w:val="Odwoanieprzypisudolnego"/>
          <w:rFonts w:ascii="Cambria" w:hAnsi="Cambria"/>
          <w:sz w:val="24"/>
          <w:szCs w:val="24"/>
        </w:rPr>
        <w:footnoteReference w:id="46"/>
      </w:r>
      <w:r w:rsidR="000C6A06" w:rsidRPr="00181BE3">
        <w:rPr>
          <w:rFonts w:ascii="Cambria" w:hAnsi="Cambria"/>
          <w:sz w:val="24"/>
          <w:szCs w:val="24"/>
        </w:rPr>
        <w:t xml:space="preserve"> Meanwhile</w:t>
      </w:r>
      <w:r w:rsidR="001D4C13" w:rsidRPr="00181BE3">
        <w:rPr>
          <w:rFonts w:ascii="Cambria" w:hAnsi="Cambria"/>
          <w:sz w:val="24"/>
          <w:szCs w:val="24"/>
        </w:rPr>
        <w:t>,</w:t>
      </w:r>
      <w:r w:rsidR="000C6A06" w:rsidRPr="00181BE3">
        <w:rPr>
          <w:rFonts w:ascii="Cambria" w:hAnsi="Cambria"/>
          <w:sz w:val="24"/>
          <w:szCs w:val="24"/>
        </w:rPr>
        <w:t xml:space="preserve"> the judges who disagreed with the Tribunal continued to apply the principle of primacy and deny the Tribunal’s rulings any binding force.</w:t>
      </w:r>
      <w:r w:rsidR="001B05DA" w:rsidRPr="00181BE3">
        <w:rPr>
          <w:rFonts w:ascii="Cambria" w:hAnsi="Cambria"/>
          <w:sz w:val="24"/>
          <w:szCs w:val="24"/>
        </w:rPr>
        <w:t xml:space="preserve"> At the same time, the anti-infringement proceedings are still pending, and the constitutional crisis is far from over</w:t>
      </w:r>
      <w:r w:rsidR="00131116" w:rsidRPr="00181BE3">
        <w:rPr>
          <w:rFonts w:ascii="Cambria" w:hAnsi="Cambria"/>
          <w:sz w:val="24"/>
          <w:szCs w:val="24"/>
        </w:rPr>
        <w:t>—even despite the appointment of a new government.</w:t>
      </w:r>
    </w:p>
    <w:p w14:paraId="0E8E6FF5" w14:textId="77777777" w:rsidR="00BB31AE" w:rsidRPr="00181BE3" w:rsidRDefault="00BB31AE">
      <w:pPr>
        <w:spacing w:after="160" w:line="259" w:lineRule="auto"/>
        <w:jc w:val="left"/>
        <w:rPr>
          <w:rFonts w:ascii="Cambria" w:hAnsi="Cambria"/>
          <w:sz w:val="24"/>
          <w:szCs w:val="24"/>
          <w:lang w:val="en-GB"/>
        </w:rPr>
      </w:pPr>
      <w:r w:rsidRPr="00181BE3">
        <w:rPr>
          <w:rFonts w:ascii="Cambria" w:hAnsi="Cambria"/>
          <w:sz w:val="24"/>
          <w:szCs w:val="24"/>
          <w:lang w:val="en-GB"/>
        </w:rPr>
        <w:br w:type="page"/>
      </w:r>
    </w:p>
    <w:p w14:paraId="5F19508E" w14:textId="77777777" w:rsidR="00115D5C" w:rsidRPr="00181BE3" w:rsidRDefault="00115D5C" w:rsidP="00394384">
      <w:pPr>
        <w:pStyle w:val="Nagwek2"/>
        <w:rPr>
          <w:rFonts w:ascii="Cambria" w:hAnsi="Cambria"/>
          <w:sz w:val="24"/>
          <w:szCs w:val="24"/>
        </w:rPr>
      </w:pPr>
      <w:r w:rsidRPr="00181BE3">
        <w:rPr>
          <w:rFonts w:ascii="Cambria" w:hAnsi="Cambria"/>
          <w:sz w:val="24"/>
          <w:szCs w:val="24"/>
        </w:rPr>
        <w:lastRenderedPageBreak/>
        <w:t>VIII. Bibliography</w:t>
      </w:r>
    </w:p>
    <w:p w14:paraId="2A8BAC48" w14:textId="0969CA99" w:rsidR="00BB31AE" w:rsidRPr="00181BE3" w:rsidRDefault="00115D5C" w:rsidP="00BB31AE">
      <w:pPr>
        <w:pStyle w:val="Nagwek2"/>
        <w:rPr>
          <w:rFonts w:ascii="Cambria" w:hAnsi="Cambria"/>
          <w:sz w:val="24"/>
          <w:szCs w:val="24"/>
        </w:rPr>
      </w:pPr>
      <w:r w:rsidRPr="00181BE3">
        <w:rPr>
          <w:rFonts w:ascii="Cambria" w:hAnsi="Cambria"/>
          <w:sz w:val="24"/>
          <w:szCs w:val="24"/>
        </w:rPr>
        <w:t>Literature</w:t>
      </w:r>
    </w:p>
    <w:p w14:paraId="38C9A829" w14:textId="6A683CF3" w:rsidR="00BB31AE" w:rsidRPr="00181BE3" w:rsidRDefault="00BB31AE" w:rsidP="00F46F95">
      <w:pPr>
        <w:pStyle w:val="NormalIndented"/>
        <w:ind w:left="284" w:firstLine="0"/>
        <w:rPr>
          <w:rFonts w:ascii="Cambria" w:hAnsi="Cambria"/>
          <w:sz w:val="24"/>
          <w:szCs w:val="24"/>
          <w:lang w:val="pl-PL"/>
        </w:rPr>
      </w:pPr>
      <w:r w:rsidRPr="00181BE3">
        <w:rPr>
          <w:rFonts w:ascii="Cambria" w:hAnsi="Cambria"/>
          <w:sz w:val="24"/>
          <w:szCs w:val="24"/>
        </w:rPr>
        <w:t xml:space="preserve">Bogdanowicz, P. (2021), ‘A legal opinion on the legal effects of the Judgment of the Constitutional Tribunal in case ref. </w:t>
      </w:r>
      <w:r w:rsidRPr="00181BE3">
        <w:rPr>
          <w:rFonts w:ascii="Cambria" w:hAnsi="Cambria"/>
          <w:sz w:val="24"/>
          <w:szCs w:val="24"/>
          <w:lang w:val="pl-PL"/>
        </w:rPr>
        <w:t xml:space="preserve">K 3/21 </w:t>
      </w:r>
      <w:proofErr w:type="spellStart"/>
      <w:r w:rsidRPr="00181BE3">
        <w:rPr>
          <w:rFonts w:ascii="Cambria" w:hAnsi="Cambria"/>
          <w:sz w:val="24"/>
          <w:szCs w:val="24"/>
          <w:lang w:val="pl-PL"/>
        </w:rPr>
        <w:t>regarding</w:t>
      </w:r>
      <w:proofErr w:type="spellEnd"/>
      <w:r w:rsidRPr="00181BE3">
        <w:rPr>
          <w:rFonts w:ascii="Cambria" w:hAnsi="Cambria"/>
          <w:sz w:val="24"/>
          <w:szCs w:val="24"/>
          <w:lang w:val="pl-PL"/>
        </w:rPr>
        <w:t xml:space="preserve"> the </w:t>
      </w:r>
      <w:proofErr w:type="spellStart"/>
      <w:r w:rsidRPr="00181BE3">
        <w:rPr>
          <w:rFonts w:ascii="Cambria" w:hAnsi="Cambria"/>
          <w:sz w:val="24"/>
          <w:szCs w:val="24"/>
          <w:lang w:val="pl-PL"/>
        </w:rPr>
        <w:t>incompatibility</w:t>
      </w:r>
      <w:proofErr w:type="spellEnd"/>
      <w:r w:rsidRPr="00181BE3">
        <w:rPr>
          <w:rFonts w:ascii="Cambria" w:hAnsi="Cambria"/>
          <w:sz w:val="24"/>
          <w:szCs w:val="24"/>
          <w:lang w:val="pl-PL"/>
        </w:rPr>
        <w:t xml:space="preserve"> of </w:t>
      </w:r>
      <w:proofErr w:type="spellStart"/>
      <w:r w:rsidRPr="00181BE3">
        <w:rPr>
          <w:rFonts w:ascii="Cambria" w:hAnsi="Cambria"/>
          <w:sz w:val="24"/>
          <w:szCs w:val="24"/>
          <w:lang w:val="pl-PL"/>
        </w:rPr>
        <w:t>provisions</w:t>
      </w:r>
      <w:proofErr w:type="spellEnd"/>
      <w:r w:rsidRPr="00181BE3">
        <w:rPr>
          <w:rFonts w:ascii="Cambria" w:hAnsi="Cambria"/>
          <w:sz w:val="24"/>
          <w:szCs w:val="24"/>
          <w:lang w:val="pl-PL"/>
        </w:rPr>
        <w:t xml:space="preserve"> of the </w:t>
      </w:r>
      <w:proofErr w:type="spellStart"/>
      <w:r w:rsidRPr="00181BE3">
        <w:rPr>
          <w:rFonts w:ascii="Cambria" w:hAnsi="Cambria"/>
          <w:sz w:val="24"/>
          <w:szCs w:val="24"/>
          <w:lang w:val="pl-PL"/>
        </w:rPr>
        <w:t>Treaty</w:t>
      </w:r>
      <w:proofErr w:type="spellEnd"/>
      <w:r w:rsidRPr="00181BE3">
        <w:rPr>
          <w:rFonts w:ascii="Cambria" w:hAnsi="Cambria"/>
          <w:sz w:val="24"/>
          <w:szCs w:val="24"/>
          <w:lang w:val="pl-PL"/>
        </w:rPr>
        <w:t xml:space="preserve"> on </w:t>
      </w:r>
      <w:proofErr w:type="spellStart"/>
      <w:r w:rsidRPr="00181BE3">
        <w:rPr>
          <w:rFonts w:ascii="Cambria" w:hAnsi="Cambria"/>
          <w:sz w:val="24"/>
          <w:szCs w:val="24"/>
          <w:lang w:val="pl-PL"/>
        </w:rPr>
        <w:t>European</w:t>
      </w:r>
      <w:proofErr w:type="spellEnd"/>
      <w:r w:rsidRPr="00181BE3">
        <w:rPr>
          <w:rFonts w:ascii="Cambria" w:hAnsi="Cambria"/>
          <w:sz w:val="24"/>
          <w:szCs w:val="24"/>
          <w:lang w:val="pl-PL"/>
        </w:rPr>
        <w:t xml:space="preserve"> Union with the </w:t>
      </w:r>
      <w:proofErr w:type="spellStart"/>
      <w:r w:rsidRPr="00181BE3">
        <w:rPr>
          <w:rFonts w:ascii="Cambria" w:hAnsi="Cambria"/>
          <w:sz w:val="24"/>
          <w:szCs w:val="24"/>
          <w:lang w:val="pl-PL"/>
        </w:rPr>
        <w:t>Constitution</w:t>
      </w:r>
      <w:proofErr w:type="spellEnd"/>
      <w:r w:rsidRPr="00181BE3">
        <w:rPr>
          <w:rFonts w:ascii="Cambria" w:hAnsi="Cambria"/>
          <w:sz w:val="24"/>
          <w:szCs w:val="24"/>
          <w:lang w:val="pl-PL"/>
        </w:rPr>
        <w:t xml:space="preserve"> of the Republic of Poland in </w:t>
      </w:r>
      <w:proofErr w:type="spellStart"/>
      <w:r w:rsidRPr="00181BE3">
        <w:rPr>
          <w:rFonts w:ascii="Cambria" w:hAnsi="Cambria"/>
          <w:sz w:val="24"/>
          <w:szCs w:val="24"/>
          <w:lang w:val="pl-PL"/>
        </w:rPr>
        <w:t>light</w:t>
      </w:r>
      <w:proofErr w:type="spellEnd"/>
      <w:r w:rsidRPr="00181BE3">
        <w:rPr>
          <w:rFonts w:ascii="Cambria" w:hAnsi="Cambria"/>
          <w:sz w:val="24"/>
          <w:szCs w:val="24"/>
          <w:lang w:val="pl-PL"/>
        </w:rPr>
        <w:t xml:space="preserve"> of </w:t>
      </w:r>
      <w:proofErr w:type="spellStart"/>
      <w:r w:rsidRPr="00181BE3">
        <w:rPr>
          <w:rFonts w:ascii="Cambria" w:hAnsi="Cambria"/>
          <w:sz w:val="24"/>
          <w:szCs w:val="24"/>
          <w:lang w:val="pl-PL"/>
        </w:rPr>
        <w:t>European</w:t>
      </w:r>
      <w:proofErr w:type="spellEnd"/>
      <w:r w:rsidRPr="00181BE3">
        <w:rPr>
          <w:rFonts w:ascii="Cambria" w:hAnsi="Cambria"/>
          <w:sz w:val="24"/>
          <w:szCs w:val="24"/>
          <w:lang w:val="pl-PL"/>
        </w:rPr>
        <w:t xml:space="preserve"> Union Law’ [‘Opinia prawna na temat skutków prawnych orzeczenia Trybunału Konstytucyjnego w sprawie o sygn. akt K 3/21 dotyczącego niezgodności przepisów Traktatu o Unii Europejskiej z Konstytucją Rzeczypospolitej Polskiej w świetle prawa Unii Europejskiej’], &lt; </w:t>
      </w:r>
      <w:hyperlink r:id="rId7" w:history="1">
        <w:r w:rsidRPr="00181BE3">
          <w:rPr>
            <w:rStyle w:val="Hipercze"/>
            <w:rFonts w:ascii="Cambria" w:hAnsi="Cambria"/>
            <w:sz w:val="24"/>
            <w:szCs w:val="24"/>
            <w:lang w:val="pl-PL"/>
          </w:rPr>
          <w:t>https://www.batory.org.pl/wp-content/uploads/2021/10/P.Bogdanowicz_Opinia-prawna_nt.skutow.orzeczeniaTK.ws_.TUE_-1.pdf </w:t>
        </w:r>
      </w:hyperlink>
      <w:r w:rsidRPr="00181BE3">
        <w:rPr>
          <w:rFonts w:ascii="Cambria" w:hAnsi="Cambria"/>
          <w:sz w:val="24"/>
          <w:szCs w:val="24"/>
          <w:lang w:val="pl-PL"/>
        </w:rPr>
        <w:t xml:space="preserve"> &gt;, [</w:t>
      </w:r>
      <w:proofErr w:type="spellStart"/>
      <w:r w:rsidRPr="00181BE3">
        <w:rPr>
          <w:rFonts w:ascii="Cambria" w:hAnsi="Cambria"/>
          <w:sz w:val="24"/>
          <w:szCs w:val="24"/>
          <w:lang w:val="pl-PL"/>
        </w:rPr>
        <w:t>Accessed</w:t>
      </w:r>
      <w:proofErr w:type="spellEnd"/>
      <w:r w:rsidRPr="00181BE3">
        <w:rPr>
          <w:rFonts w:ascii="Cambria" w:hAnsi="Cambria"/>
          <w:sz w:val="24"/>
          <w:szCs w:val="24"/>
          <w:lang w:val="pl-PL"/>
        </w:rPr>
        <w:t xml:space="preserve">: </w:t>
      </w:r>
      <w:proofErr w:type="spellStart"/>
      <w:r w:rsidRPr="00181BE3">
        <w:rPr>
          <w:rFonts w:ascii="Cambria" w:hAnsi="Cambria"/>
          <w:sz w:val="24"/>
          <w:szCs w:val="24"/>
          <w:lang w:val="pl-PL"/>
        </w:rPr>
        <w:t>February</w:t>
      </w:r>
      <w:proofErr w:type="spellEnd"/>
      <w:r w:rsidRPr="00181BE3">
        <w:rPr>
          <w:rFonts w:ascii="Cambria" w:hAnsi="Cambria"/>
          <w:sz w:val="24"/>
          <w:szCs w:val="24"/>
          <w:lang w:val="pl-PL"/>
        </w:rPr>
        <w:t xml:space="preserve"> 23, 2024].</w:t>
      </w:r>
    </w:p>
    <w:p w14:paraId="0A1E1E5D" w14:textId="36E54E43" w:rsidR="00DC185E" w:rsidRPr="00181BE3" w:rsidRDefault="00DC185E" w:rsidP="00F46F95">
      <w:pPr>
        <w:pStyle w:val="NormalIndented"/>
        <w:ind w:left="284" w:firstLine="0"/>
        <w:rPr>
          <w:rFonts w:ascii="Cambria" w:hAnsi="Cambria"/>
          <w:sz w:val="24"/>
          <w:szCs w:val="24"/>
        </w:rPr>
      </w:pPr>
      <w:proofErr w:type="spellStart"/>
      <w:r w:rsidRPr="00181BE3">
        <w:rPr>
          <w:rFonts w:ascii="Cambria" w:hAnsi="Cambria"/>
          <w:sz w:val="24"/>
          <w:szCs w:val="24"/>
        </w:rPr>
        <w:t>Koncewicz</w:t>
      </w:r>
      <w:proofErr w:type="spellEnd"/>
      <w:r w:rsidRPr="00181BE3">
        <w:rPr>
          <w:rFonts w:ascii="Cambria" w:hAnsi="Cambria"/>
          <w:sz w:val="24"/>
          <w:szCs w:val="24"/>
        </w:rPr>
        <w:t>, T.T. (2019), ‘From Constitutional to Political Justice: The Tragic Trajectories of the Polish Constitutional Court’, &lt;</w:t>
      </w:r>
      <w:r w:rsidR="00794021" w:rsidRPr="00181BE3">
        <w:rPr>
          <w:rFonts w:ascii="Cambria" w:hAnsi="Cambria"/>
          <w:sz w:val="24"/>
          <w:szCs w:val="24"/>
        </w:rPr>
        <w:t> </w:t>
      </w:r>
      <w:hyperlink r:id="rId8" w:history="1">
        <w:r w:rsidRPr="00181BE3">
          <w:rPr>
            <w:rStyle w:val="Hipercze"/>
            <w:rFonts w:ascii="Cambria" w:hAnsi="Cambria"/>
            <w:sz w:val="24"/>
            <w:szCs w:val="24"/>
          </w:rPr>
          <w:t>https://reconnect-europe.eu/blog/koncewicz-polish-constitutional-court/</w:t>
        </w:r>
      </w:hyperlink>
      <w:r w:rsidR="00794021" w:rsidRPr="00181BE3">
        <w:rPr>
          <w:rFonts w:ascii="Cambria" w:hAnsi="Cambria"/>
          <w:sz w:val="24"/>
          <w:szCs w:val="24"/>
        </w:rPr>
        <w:t> </w:t>
      </w:r>
      <w:r w:rsidRPr="00181BE3">
        <w:rPr>
          <w:rFonts w:ascii="Cambria" w:hAnsi="Cambria"/>
          <w:sz w:val="24"/>
          <w:szCs w:val="24"/>
        </w:rPr>
        <w:t>&gt;, [accessed: February 23, 2023].</w:t>
      </w:r>
    </w:p>
    <w:p w14:paraId="4A77B23F" w14:textId="0BA42FCA" w:rsidR="00BB31AE" w:rsidRPr="00181BE3" w:rsidRDefault="00BB31AE" w:rsidP="00F46F95">
      <w:pPr>
        <w:pStyle w:val="NormalIndented"/>
        <w:ind w:left="284" w:firstLine="0"/>
        <w:rPr>
          <w:rFonts w:ascii="Cambria" w:hAnsi="Cambria"/>
          <w:sz w:val="24"/>
          <w:szCs w:val="24"/>
        </w:rPr>
      </w:pPr>
      <w:r w:rsidRPr="00181BE3">
        <w:rPr>
          <w:rFonts w:ascii="Cambria" w:hAnsi="Cambria"/>
          <w:sz w:val="24"/>
          <w:szCs w:val="24"/>
        </w:rPr>
        <w:t>Matczak, M.</w:t>
      </w:r>
      <w:r w:rsidR="008642BF" w:rsidRPr="00181BE3">
        <w:rPr>
          <w:rFonts w:ascii="Cambria" w:hAnsi="Cambria"/>
          <w:sz w:val="24"/>
          <w:szCs w:val="24"/>
        </w:rPr>
        <w:t xml:space="preserve"> (2018)</w:t>
      </w:r>
      <w:r w:rsidRPr="00181BE3">
        <w:rPr>
          <w:rFonts w:ascii="Cambria" w:hAnsi="Cambria"/>
          <w:sz w:val="24"/>
          <w:szCs w:val="24"/>
        </w:rPr>
        <w:t>, ‘Poland’s Constitutional Crisis: Facts and interpretations’, The Foundation for Law, Justice and Society, &lt;</w:t>
      </w:r>
      <w:r w:rsidR="00CE2668" w:rsidRPr="00181BE3">
        <w:rPr>
          <w:rFonts w:ascii="Cambria" w:hAnsi="Cambria"/>
          <w:sz w:val="24"/>
          <w:szCs w:val="24"/>
        </w:rPr>
        <w:t> </w:t>
      </w:r>
      <w:hyperlink r:id="rId9" w:history="1">
        <w:r w:rsidRPr="00181BE3">
          <w:rPr>
            <w:rStyle w:val="Hipercze"/>
            <w:rFonts w:ascii="Cambria" w:hAnsi="Cambria"/>
            <w:sz w:val="24"/>
            <w:szCs w:val="24"/>
          </w:rPr>
          <w:t>https://monitorkonstytucyjny.eu/wp-content/uploads/2018/07/Matczak</w:t>
        </w:r>
        <w:r w:rsidR="009D5292" w:rsidRPr="00181BE3">
          <w:rPr>
            <w:rStyle w:val="Hipercze"/>
            <w:rFonts w:ascii="Cambria" w:hAnsi="Cambria"/>
            <w:sz w:val="24"/>
            <w:szCs w:val="24"/>
          </w:rPr>
          <w:br/>
        </w:r>
        <w:r w:rsidRPr="00181BE3">
          <w:rPr>
            <w:rStyle w:val="Hipercze"/>
            <w:rFonts w:ascii="Cambria" w:hAnsi="Cambria"/>
            <w:sz w:val="24"/>
            <w:szCs w:val="24"/>
          </w:rPr>
          <w:t>_Polands-Constitutional-Crisis-Facts-and-interpretations_0.pdf</w:t>
        </w:r>
      </w:hyperlink>
      <w:r w:rsidR="00CE2668" w:rsidRPr="00181BE3">
        <w:rPr>
          <w:rFonts w:ascii="Cambria" w:hAnsi="Cambria"/>
          <w:sz w:val="24"/>
          <w:szCs w:val="24"/>
        </w:rPr>
        <w:t> </w:t>
      </w:r>
      <w:r w:rsidRPr="00181BE3">
        <w:rPr>
          <w:rFonts w:ascii="Cambria" w:hAnsi="Cambria"/>
          <w:sz w:val="24"/>
          <w:szCs w:val="24"/>
        </w:rPr>
        <w:t>&gt;, [accessed: February 23, 2023].</w:t>
      </w:r>
    </w:p>
    <w:p w14:paraId="4C42C699" w14:textId="606C797B" w:rsidR="00BB31AE" w:rsidRPr="00181BE3" w:rsidRDefault="00BB31AE" w:rsidP="00F46F95">
      <w:pPr>
        <w:pStyle w:val="NormalIndented"/>
        <w:ind w:left="284" w:firstLine="0"/>
        <w:rPr>
          <w:rFonts w:ascii="Cambria" w:hAnsi="Cambria"/>
          <w:sz w:val="24"/>
          <w:szCs w:val="24"/>
        </w:rPr>
      </w:pPr>
      <w:r w:rsidRPr="00181BE3">
        <w:rPr>
          <w:rFonts w:ascii="Cambria" w:hAnsi="Cambria"/>
          <w:sz w:val="24"/>
          <w:szCs w:val="24"/>
        </w:rPr>
        <w:t>Pietryga, T.</w:t>
      </w:r>
      <w:r w:rsidR="004C6239" w:rsidRPr="00181BE3">
        <w:rPr>
          <w:rFonts w:ascii="Cambria" w:hAnsi="Cambria"/>
          <w:sz w:val="24"/>
          <w:szCs w:val="24"/>
        </w:rPr>
        <w:t xml:space="preserve"> (2023)</w:t>
      </w:r>
      <w:r w:rsidRPr="00181BE3">
        <w:rPr>
          <w:rFonts w:ascii="Cambria" w:hAnsi="Cambria"/>
          <w:sz w:val="24"/>
          <w:szCs w:val="24"/>
        </w:rPr>
        <w:t xml:space="preserve">, ‘How did it go with “doppelganger judges” in the Constitutional Tribunal” </w:t>
      </w:r>
      <w:r w:rsidR="004C6239" w:rsidRPr="00181BE3">
        <w:rPr>
          <w:rFonts w:ascii="Cambria" w:hAnsi="Cambria"/>
          <w:sz w:val="24"/>
          <w:szCs w:val="24"/>
        </w:rPr>
        <w:br/>
      </w:r>
      <w:r w:rsidRPr="00181BE3">
        <w:rPr>
          <w:rFonts w:ascii="Cambria" w:hAnsi="Cambria"/>
          <w:sz w:val="24"/>
          <w:szCs w:val="24"/>
        </w:rPr>
        <w:t xml:space="preserve">[‘Jak to </w:t>
      </w:r>
      <w:proofErr w:type="spellStart"/>
      <w:r w:rsidRPr="00181BE3">
        <w:rPr>
          <w:rFonts w:ascii="Cambria" w:hAnsi="Cambria"/>
          <w:sz w:val="24"/>
          <w:szCs w:val="24"/>
        </w:rPr>
        <w:t>było</w:t>
      </w:r>
      <w:proofErr w:type="spellEnd"/>
      <w:r w:rsidRPr="00181BE3">
        <w:rPr>
          <w:rFonts w:ascii="Cambria" w:hAnsi="Cambria"/>
          <w:sz w:val="24"/>
          <w:szCs w:val="24"/>
        </w:rPr>
        <w:t xml:space="preserve"> z “</w:t>
      </w:r>
      <w:proofErr w:type="spellStart"/>
      <w:r w:rsidRPr="00181BE3">
        <w:rPr>
          <w:rFonts w:ascii="Cambria" w:hAnsi="Cambria"/>
          <w:sz w:val="24"/>
          <w:szCs w:val="24"/>
        </w:rPr>
        <w:t>sędziami</w:t>
      </w:r>
      <w:proofErr w:type="spellEnd"/>
      <w:r w:rsidRPr="00181BE3">
        <w:rPr>
          <w:rFonts w:ascii="Cambria" w:hAnsi="Cambria"/>
          <w:sz w:val="24"/>
          <w:szCs w:val="24"/>
        </w:rPr>
        <w:t xml:space="preserve"> </w:t>
      </w:r>
      <w:proofErr w:type="spellStart"/>
      <w:r w:rsidRPr="00181BE3">
        <w:rPr>
          <w:rFonts w:ascii="Cambria" w:hAnsi="Cambria"/>
          <w:sz w:val="24"/>
          <w:szCs w:val="24"/>
        </w:rPr>
        <w:t>dublerami</w:t>
      </w:r>
      <w:proofErr w:type="spellEnd"/>
      <w:r w:rsidRPr="00181BE3">
        <w:rPr>
          <w:rFonts w:ascii="Cambria" w:hAnsi="Cambria"/>
          <w:sz w:val="24"/>
          <w:szCs w:val="24"/>
        </w:rPr>
        <w:t xml:space="preserve">” w </w:t>
      </w:r>
      <w:proofErr w:type="spellStart"/>
      <w:r w:rsidRPr="00181BE3">
        <w:rPr>
          <w:rFonts w:ascii="Cambria" w:hAnsi="Cambria"/>
          <w:sz w:val="24"/>
          <w:szCs w:val="24"/>
        </w:rPr>
        <w:t>Trybunale</w:t>
      </w:r>
      <w:proofErr w:type="spellEnd"/>
      <w:r w:rsidRPr="00181BE3">
        <w:rPr>
          <w:rFonts w:ascii="Cambria" w:hAnsi="Cambria"/>
          <w:sz w:val="24"/>
          <w:szCs w:val="24"/>
        </w:rPr>
        <w:t xml:space="preserve"> </w:t>
      </w:r>
      <w:proofErr w:type="spellStart"/>
      <w:r w:rsidRPr="00181BE3">
        <w:rPr>
          <w:rFonts w:ascii="Cambria" w:hAnsi="Cambria"/>
          <w:sz w:val="24"/>
          <w:szCs w:val="24"/>
        </w:rPr>
        <w:t>Konstytucyjnym</w:t>
      </w:r>
      <w:proofErr w:type="spellEnd"/>
      <w:r w:rsidRPr="00181BE3">
        <w:rPr>
          <w:rFonts w:ascii="Cambria" w:hAnsi="Cambria"/>
          <w:sz w:val="24"/>
          <w:szCs w:val="24"/>
        </w:rPr>
        <w:t xml:space="preserve">’], in: Rzeczpospolita, &lt; </w:t>
      </w:r>
      <w:hyperlink r:id="rId10" w:history="1">
        <w:r w:rsidRPr="00181BE3">
          <w:rPr>
            <w:rStyle w:val="Hipercze"/>
            <w:rFonts w:ascii="Cambria" w:hAnsi="Cambria"/>
            <w:sz w:val="24"/>
            <w:szCs w:val="24"/>
          </w:rPr>
          <w:t>https://</w:t>
        </w:r>
        <w:r w:rsidR="00C4076E" w:rsidRPr="00181BE3">
          <w:rPr>
            <w:rStyle w:val="Hipercze"/>
            <w:rFonts w:ascii="Cambria" w:hAnsi="Cambria"/>
            <w:sz w:val="24"/>
            <w:szCs w:val="24"/>
          </w:rPr>
          <w:br/>
        </w:r>
        <w:r w:rsidRPr="00181BE3">
          <w:rPr>
            <w:rStyle w:val="Hipercze"/>
            <w:rFonts w:ascii="Cambria" w:hAnsi="Cambria"/>
            <w:sz w:val="24"/>
            <w:szCs w:val="24"/>
          </w:rPr>
          <w:t>www.rp.pl/sady-i-trybunaly/art39394591-jak-to-bylo-z-sedziami-dublerami-w-trybunale-konstytuc</w:t>
        </w:r>
        <w:r w:rsidR="00C4076E" w:rsidRPr="00181BE3">
          <w:rPr>
            <w:rStyle w:val="Hipercze"/>
            <w:rFonts w:ascii="Cambria" w:hAnsi="Cambria"/>
            <w:sz w:val="24"/>
            <w:szCs w:val="24"/>
          </w:rPr>
          <w:br/>
        </w:r>
        <w:proofErr w:type="spellStart"/>
        <w:r w:rsidRPr="00181BE3">
          <w:rPr>
            <w:rStyle w:val="Hipercze"/>
            <w:rFonts w:ascii="Cambria" w:hAnsi="Cambria"/>
            <w:sz w:val="24"/>
            <w:szCs w:val="24"/>
          </w:rPr>
          <w:t>yjnym</w:t>
        </w:r>
        <w:proofErr w:type="spellEnd"/>
      </w:hyperlink>
      <w:r w:rsidR="004C6239" w:rsidRPr="00181BE3">
        <w:rPr>
          <w:rFonts w:ascii="Cambria" w:hAnsi="Cambria"/>
          <w:sz w:val="24"/>
          <w:szCs w:val="24"/>
        </w:rPr>
        <w:t> </w:t>
      </w:r>
      <w:r w:rsidRPr="00181BE3">
        <w:rPr>
          <w:rFonts w:ascii="Cambria" w:hAnsi="Cambria"/>
          <w:sz w:val="24"/>
          <w:szCs w:val="24"/>
        </w:rPr>
        <w:t xml:space="preserve">&gt;, [accessed: February 23, 2023]. </w:t>
      </w:r>
    </w:p>
    <w:p w14:paraId="01CD7DDC" w14:textId="4B5D102F" w:rsidR="009A25E0" w:rsidRPr="00181BE3" w:rsidRDefault="009A25E0" w:rsidP="00F46F95">
      <w:pPr>
        <w:pStyle w:val="NormalIndented"/>
        <w:ind w:left="284" w:firstLine="0"/>
        <w:rPr>
          <w:rFonts w:ascii="Cambria" w:hAnsi="Cambria"/>
          <w:sz w:val="24"/>
          <w:szCs w:val="24"/>
        </w:rPr>
      </w:pPr>
      <w:proofErr w:type="spellStart"/>
      <w:r w:rsidRPr="00181BE3">
        <w:rPr>
          <w:rFonts w:ascii="Cambria" w:hAnsi="Cambria"/>
          <w:sz w:val="24"/>
          <w:szCs w:val="24"/>
        </w:rPr>
        <w:t>Woś</w:t>
      </w:r>
      <w:proofErr w:type="spellEnd"/>
      <w:r w:rsidRPr="00181BE3">
        <w:rPr>
          <w:rFonts w:ascii="Cambria" w:hAnsi="Cambria"/>
          <w:sz w:val="24"/>
          <w:szCs w:val="24"/>
        </w:rPr>
        <w:t xml:space="preserve">, T., ‘Interpretative and Limited Judgments in the Jurisprudence of the Constitutional Tribunal`, Studia </w:t>
      </w:r>
      <w:proofErr w:type="spellStart"/>
      <w:r w:rsidRPr="00181BE3">
        <w:rPr>
          <w:rFonts w:ascii="Cambria" w:hAnsi="Cambria"/>
          <w:sz w:val="24"/>
          <w:szCs w:val="24"/>
        </w:rPr>
        <w:t>Iuridica</w:t>
      </w:r>
      <w:proofErr w:type="spellEnd"/>
      <w:r w:rsidRPr="00181BE3">
        <w:rPr>
          <w:rFonts w:ascii="Cambria" w:hAnsi="Cambria"/>
          <w:sz w:val="24"/>
          <w:szCs w:val="24"/>
        </w:rPr>
        <w:t xml:space="preserve"> </w:t>
      </w:r>
      <w:proofErr w:type="spellStart"/>
      <w:r w:rsidRPr="00181BE3">
        <w:rPr>
          <w:rFonts w:ascii="Cambria" w:hAnsi="Cambria"/>
          <w:sz w:val="24"/>
          <w:szCs w:val="24"/>
        </w:rPr>
        <w:t>Lulinensia</w:t>
      </w:r>
      <w:proofErr w:type="spellEnd"/>
      <w:r w:rsidRPr="00181BE3">
        <w:rPr>
          <w:rFonts w:ascii="Cambria" w:hAnsi="Cambria"/>
          <w:sz w:val="24"/>
          <w:szCs w:val="24"/>
        </w:rPr>
        <w:t>, vol. XXV, 3, 2016.</w:t>
      </w:r>
    </w:p>
    <w:p w14:paraId="232182BB" w14:textId="4E2FD57D" w:rsidR="00115D5C" w:rsidRPr="00181BE3" w:rsidRDefault="00115D5C" w:rsidP="00F46F95">
      <w:pPr>
        <w:pStyle w:val="Nagwek2"/>
        <w:ind w:left="284" w:firstLine="0"/>
        <w:rPr>
          <w:rFonts w:ascii="Cambria" w:hAnsi="Cambria"/>
          <w:sz w:val="24"/>
          <w:szCs w:val="24"/>
        </w:rPr>
      </w:pPr>
      <w:r w:rsidRPr="00181BE3">
        <w:rPr>
          <w:rFonts w:ascii="Cambria" w:hAnsi="Cambria"/>
          <w:sz w:val="24"/>
          <w:szCs w:val="24"/>
        </w:rPr>
        <w:t>Legal acts</w:t>
      </w:r>
    </w:p>
    <w:p w14:paraId="76BA08F9" w14:textId="77777777" w:rsidR="00D9528D" w:rsidRPr="00181BE3" w:rsidRDefault="00D9528D" w:rsidP="00F46F95">
      <w:pPr>
        <w:pStyle w:val="NormalIndented"/>
        <w:ind w:left="284" w:firstLine="0"/>
        <w:rPr>
          <w:rFonts w:ascii="Cambria" w:hAnsi="Cambria"/>
          <w:sz w:val="24"/>
          <w:szCs w:val="24"/>
        </w:rPr>
      </w:pPr>
      <w:r w:rsidRPr="00181BE3">
        <w:rPr>
          <w:rFonts w:ascii="Cambria" w:hAnsi="Cambria"/>
          <w:sz w:val="24"/>
          <w:szCs w:val="24"/>
        </w:rPr>
        <w:t xml:space="preserve">Act on the Supreme Court of December 8, 2017, as published in </w:t>
      </w:r>
      <w:proofErr w:type="spellStart"/>
      <w:r w:rsidRPr="00181BE3">
        <w:rPr>
          <w:rFonts w:ascii="Cambria" w:hAnsi="Cambria"/>
          <w:i/>
          <w:iCs/>
          <w:sz w:val="24"/>
          <w:szCs w:val="24"/>
        </w:rPr>
        <w:t>Dziennik</w:t>
      </w:r>
      <w:proofErr w:type="spellEnd"/>
      <w:r w:rsidRPr="00181BE3">
        <w:rPr>
          <w:rFonts w:ascii="Cambria" w:hAnsi="Cambria"/>
          <w:i/>
          <w:iCs/>
          <w:sz w:val="24"/>
          <w:szCs w:val="24"/>
        </w:rPr>
        <w:t xml:space="preserve"> </w:t>
      </w:r>
      <w:proofErr w:type="spellStart"/>
      <w:r w:rsidRPr="00181BE3">
        <w:rPr>
          <w:rFonts w:ascii="Cambria" w:hAnsi="Cambria"/>
          <w:i/>
          <w:iCs/>
          <w:sz w:val="24"/>
          <w:szCs w:val="24"/>
        </w:rPr>
        <w:t>Ustaw</w:t>
      </w:r>
      <w:proofErr w:type="spellEnd"/>
      <w:r w:rsidRPr="00181BE3">
        <w:rPr>
          <w:rFonts w:ascii="Cambria" w:hAnsi="Cambria"/>
          <w:sz w:val="24"/>
          <w:szCs w:val="24"/>
        </w:rPr>
        <w:t>, year 2018, item 5.</w:t>
      </w:r>
    </w:p>
    <w:p w14:paraId="2CA96519" w14:textId="4B356E48" w:rsidR="009A25E0" w:rsidRPr="00181BE3" w:rsidRDefault="009A25E0" w:rsidP="00F46F95">
      <w:pPr>
        <w:pStyle w:val="NormalIndented"/>
        <w:ind w:left="284" w:firstLine="0"/>
        <w:rPr>
          <w:rFonts w:ascii="Cambria" w:hAnsi="Cambria"/>
          <w:sz w:val="24"/>
          <w:szCs w:val="24"/>
        </w:rPr>
      </w:pPr>
      <w:r w:rsidRPr="00181BE3">
        <w:rPr>
          <w:rFonts w:ascii="Cambria" w:hAnsi="Cambria"/>
          <w:sz w:val="24"/>
          <w:szCs w:val="24"/>
        </w:rPr>
        <w:lastRenderedPageBreak/>
        <w:t>Consolidated version of the Treaty on European Union (2016), Official Journal of the European Union C 202/1.</w:t>
      </w:r>
    </w:p>
    <w:p w14:paraId="5D54B64C" w14:textId="74E176CB" w:rsidR="009A25E0" w:rsidRPr="00181BE3" w:rsidRDefault="009A25E0" w:rsidP="00F46F95">
      <w:pPr>
        <w:pStyle w:val="NormalIndented"/>
        <w:ind w:left="284" w:firstLine="0"/>
        <w:rPr>
          <w:rFonts w:ascii="Cambria" w:hAnsi="Cambria"/>
          <w:sz w:val="24"/>
          <w:szCs w:val="24"/>
        </w:rPr>
      </w:pPr>
      <w:r w:rsidRPr="00181BE3">
        <w:rPr>
          <w:rFonts w:ascii="Cambria" w:hAnsi="Cambria"/>
          <w:sz w:val="24"/>
          <w:szCs w:val="24"/>
        </w:rPr>
        <w:t>Consolidated version of the Treaty on the Functioning of the European Union (2016), Official Journal of the European Union C 202/1.</w:t>
      </w:r>
    </w:p>
    <w:p w14:paraId="44B7249F" w14:textId="4D825A3E" w:rsidR="00D32B47" w:rsidRPr="00181BE3" w:rsidRDefault="009A25E0" w:rsidP="00FE2D12">
      <w:pPr>
        <w:pStyle w:val="NormalIndented"/>
        <w:spacing w:after="240"/>
        <w:ind w:left="284" w:firstLine="0"/>
        <w:rPr>
          <w:rFonts w:ascii="Cambria" w:hAnsi="Cambria"/>
          <w:sz w:val="24"/>
          <w:szCs w:val="24"/>
        </w:rPr>
      </w:pPr>
      <w:r w:rsidRPr="00181BE3">
        <w:rPr>
          <w:rFonts w:ascii="Cambria" w:hAnsi="Cambria"/>
          <w:sz w:val="24"/>
          <w:szCs w:val="24"/>
        </w:rPr>
        <w:t xml:space="preserve">The Constitution of The Republic of Poland of April 2, 1997, as published in </w:t>
      </w:r>
      <w:proofErr w:type="spellStart"/>
      <w:r w:rsidRPr="00181BE3">
        <w:rPr>
          <w:rFonts w:ascii="Cambria" w:hAnsi="Cambria"/>
          <w:sz w:val="24"/>
          <w:szCs w:val="24"/>
        </w:rPr>
        <w:t>Dziennik</w:t>
      </w:r>
      <w:proofErr w:type="spellEnd"/>
      <w:r w:rsidRPr="00181BE3">
        <w:rPr>
          <w:rFonts w:ascii="Cambria" w:hAnsi="Cambria"/>
          <w:sz w:val="24"/>
          <w:szCs w:val="24"/>
        </w:rPr>
        <w:t xml:space="preserve"> </w:t>
      </w:r>
      <w:proofErr w:type="spellStart"/>
      <w:r w:rsidRPr="00181BE3">
        <w:rPr>
          <w:rFonts w:ascii="Cambria" w:hAnsi="Cambria"/>
          <w:sz w:val="24"/>
          <w:szCs w:val="24"/>
        </w:rPr>
        <w:t>Ustaw</w:t>
      </w:r>
      <w:proofErr w:type="spellEnd"/>
      <w:r w:rsidRPr="00181BE3">
        <w:rPr>
          <w:rFonts w:ascii="Cambria" w:hAnsi="Cambria"/>
          <w:sz w:val="24"/>
          <w:szCs w:val="24"/>
        </w:rPr>
        <w:t xml:space="preserve"> No. 78, item 483, Articles 188 to 197.</w:t>
      </w:r>
    </w:p>
    <w:p w14:paraId="5959D8F8" w14:textId="77777777" w:rsidR="00115D5C" w:rsidRPr="00181BE3" w:rsidRDefault="00115D5C" w:rsidP="00F46F95">
      <w:pPr>
        <w:pStyle w:val="Nagwek2"/>
        <w:ind w:left="284" w:firstLine="0"/>
        <w:rPr>
          <w:rFonts w:ascii="Cambria" w:hAnsi="Cambria"/>
          <w:sz w:val="24"/>
          <w:szCs w:val="24"/>
          <w:lang w:val="de-DE"/>
        </w:rPr>
      </w:pPr>
      <w:r w:rsidRPr="00181BE3">
        <w:rPr>
          <w:rFonts w:ascii="Cambria" w:hAnsi="Cambria"/>
          <w:sz w:val="24"/>
          <w:szCs w:val="24"/>
          <w:lang w:val="de-DE"/>
        </w:rPr>
        <w:t xml:space="preserve">Court </w:t>
      </w:r>
      <w:proofErr w:type="spellStart"/>
      <w:r w:rsidRPr="00181BE3">
        <w:rPr>
          <w:rFonts w:ascii="Cambria" w:hAnsi="Cambria"/>
          <w:sz w:val="24"/>
          <w:szCs w:val="24"/>
          <w:lang w:val="de-DE"/>
        </w:rPr>
        <w:t>decisions</w:t>
      </w:r>
      <w:proofErr w:type="spellEnd"/>
    </w:p>
    <w:p w14:paraId="36DB7027" w14:textId="4DF70B4E" w:rsidR="00D9528D" w:rsidRPr="00181BE3" w:rsidRDefault="00D9528D" w:rsidP="00F46F95">
      <w:pPr>
        <w:pStyle w:val="NormalIndented"/>
        <w:ind w:left="284" w:firstLine="0"/>
        <w:rPr>
          <w:rFonts w:ascii="Cambria" w:hAnsi="Cambria"/>
          <w:sz w:val="24"/>
          <w:szCs w:val="24"/>
        </w:rPr>
      </w:pPr>
      <w:proofErr w:type="spellStart"/>
      <w:r w:rsidRPr="00181BE3">
        <w:rPr>
          <w:rFonts w:ascii="Cambria" w:hAnsi="Cambria"/>
          <w:sz w:val="24"/>
          <w:szCs w:val="24"/>
          <w:lang w:val="de-DE"/>
        </w:rPr>
        <w:t>Judgment</w:t>
      </w:r>
      <w:proofErr w:type="spellEnd"/>
      <w:r w:rsidRPr="00181BE3">
        <w:rPr>
          <w:rFonts w:ascii="Cambria" w:hAnsi="Cambria"/>
          <w:sz w:val="24"/>
          <w:szCs w:val="24"/>
          <w:lang w:val="de-DE"/>
        </w:rPr>
        <w:t xml:space="preserve"> </w:t>
      </w:r>
      <w:proofErr w:type="spellStart"/>
      <w:r w:rsidRPr="00181BE3">
        <w:rPr>
          <w:rFonts w:ascii="Cambria" w:hAnsi="Cambria"/>
          <w:sz w:val="24"/>
          <w:szCs w:val="24"/>
          <w:lang w:val="de-DE"/>
        </w:rPr>
        <w:t>of</w:t>
      </w:r>
      <w:proofErr w:type="spellEnd"/>
      <w:r w:rsidRPr="00181BE3">
        <w:rPr>
          <w:rFonts w:ascii="Cambria" w:hAnsi="Cambria"/>
          <w:sz w:val="24"/>
          <w:szCs w:val="24"/>
          <w:lang w:val="de-DE"/>
        </w:rPr>
        <w:t xml:space="preserve"> </w:t>
      </w:r>
      <w:proofErr w:type="spellStart"/>
      <w:r w:rsidRPr="00181BE3">
        <w:rPr>
          <w:rFonts w:ascii="Cambria" w:hAnsi="Cambria"/>
          <w:sz w:val="24"/>
          <w:szCs w:val="24"/>
          <w:lang w:val="de-DE"/>
        </w:rPr>
        <w:t>the</w:t>
      </w:r>
      <w:proofErr w:type="spellEnd"/>
      <w:r w:rsidRPr="00181BE3">
        <w:rPr>
          <w:rFonts w:ascii="Cambria" w:hAnsi="Cambria"/>
          <w:sz w:val="24"/>
          <w:szCs w:val="24"/>
          <w:lang w:val="de-DE"/>
        </w:rPr>
        <w:t xml:space="preserve"> CJEU </w:t>
      </w:r>
      <w:proofErr w:type="spellStart"/>
      <w:r w:rsidRPr="00181BE3">
        <w:rPr>
          <w:rFonts w:ascii="Cambria" w:hAnsi="Cambria"/>
          <w:sz w:val="24"/>
          <w:szCs w:val="24"/>
          <w:lang w:val="de-DE"/>
        </w:rPr>
        <w:t>of</w:t>
      </w:r>
      <w:proofErr w:type="spellEnd"/>
      <w:r w:rsidRPr="00181BE3">
        <w:rPr>
          <w:rFonts w:ascii="Cambria" w:hAnsi="Cambria"/>
          <w:sz w:val="24"/>
          <w:szCs w:val="24"/>
          <w:lang w:val="de-DE"/>
        </w:rPr>
        <w:t xml:space="preserve"> </w:t>
      </w:r>
      <w:proofErr w:type="spellStart"/>
      <w:r w:rsidRPr="00181BE3">
        <w:rPr>
          <w:rFonts w:ascii="Cambria" w:hAnsi="Cambria"/>
          <w:sz w:val="24"/>
          <w:szCs w:val="24"/>
          <w:lang w:val="de-DE"/>
        </w:rPr>
        <w:t>De</w:t>
      </w:r>
      <w:r w:rsidR="001D4C13" w:rsidRPr="00181BE3">
        <w:rPr>
          <w:rFonts w:ascii="Cambria" w:hAnsi="Cambria"/>
          <w:sz w:val="24"/>
          <w:szCs w:val="24"/>
          <w:lang w:val="de-DE"/>
        </w:rPr>
        <w:t>c</w:t>
      </w:r>
      <w:r w:rsidRPr="00181BE3">
        <w:rPr>
          <w:rFonts w:ascii="Cambria" w:hAnsi="Cambria"/>
          <w:sz w:val="24"/>
          <w:szCs w:val="24"/>
          <w:lang w:val="de-DE"/>
        </w:rPr>
        <w:t>ember</w:t>
      </w:r>
      <w:proofErr w:type="spellEnd"/>
      <w:r w:rsidRPr="00181BE3">
        <w:rPr>
          <w:rFonts w:ascii="Cambria" w:hAnsi="Cambria"/>
          <w:sz w:val="24"/>
          <w:szCs w:val="24"/>
          <w:lang w:val="de-DE"/>
        </w:rPr>
        <w:t xml:space="preserve"> 17, 1970, Internationale Handelsgesellschaft mbH v Einfuhr- und Vorratsstelle für Getreide und Futtermittel, </w:t>
      </w:r>
      <w:proofErr w:type="spellStart"/>
      <w:r w:rsidRPr="00181BE3">
        <w:rPr>
          <w:rFonts w:ascii="Cambria" w:hAnsi="Cambria"/>
          <w:sz w:val="24"/>
          <w:szCs w:val="24"/>
          <w:lang w:val="de-DE"/>
        </w:rPr>
        <w:t>ref</w:t>
      </w:r>
      <w:proofErr w:type="spellEnd"/>
      <w:r w:rsidRPr="00181BE3">
        <w:rPr>
          <w:rFonts w:ascii="Cambria" w:hAnsi="Cambria"/>
          <w:sz w:val="24"/>
          <w:szCs w:val="24"/>
          <w:lang w:val="de-DE"/>
        </w:rPr>
        <w:t xml:space="preserve">. </w:t>
      </w:r>
      <w:r w:rsidRPr="00181BE3">
        <w:rPr>
          <w:rFonts w:ascii="Cambria" w:hAnsi="Cambria"/>
          <w:sz w:val="24"/>
          <w:szCs w:val="24"/>
        </w:rPr>
        <w:t>C-11/70.</w:t>
      </w:r>
    </w:p>
    <w:p w14:paraId="64DC4EC9" w14:textId="20F5C916" w:rsidR="00D9528D" w:rsidRPr="00181BE3" w:rsidRDefault="00D9528D" w:rsidP="00F46F95">
      <w:pPr>
        <w:pStyle w:val="NormalIndented"/>
        <w:ind w:left="284" w:firstLine="0"/>
        <w:rPr>
          <w:rFonts w:ascii="Cambria" w:hAnsi="Cambria"/>
          <w:sz w:val="24"/>
          <w:szCs w:val="24"/>
        </w:rPr>
      </w:pPr>
      <w:r w:rsidRPr="00181BE3">
        <w:rPr>
          <w:rFonts w:ascii="Cambria" w:hAnsi="Cambria"/>
          <w:sz w:val="24"/>
          <w:szCs w:val="24"/>
        </w:rPr>
        <w:t xml:space="preserve">Judgment of the CJEU of March 9, 1978, </w:t>
      </w:r>
      <w:r w:rsidR="0034666C" w:rsidRPr="00181BE3">
        <w:rPr>
          <w:rFonts w:ascii="Cambria" w:hAnsi="Cambria"/>
          <w:sz w:val="24"/>
          <w:szCs w:val="24"/>
        </w:rPr>
        <w:t>Administration</w:t>
      </w:r>
      <w:r w:rsidRPr="00181BE3">
        <w:rPr>
          <w:rFonts w:ascii="Cambria" w:hAnsi="Cambria"/>
          <w:sz w:val="24"/>
          <w:szCs w:val="24"/>
        </w:rPr>
        <w:t xml:space="preserve"> </w:t>
      </w:r>
      <w:proofErr w:type="spellStart"/>
      <w:r w:rsidRPr="00181BE3">
        <w:rPr>
          <w:rFonts w:ascii="Cambria" w:hAnsi="Cambria"/>
          <w:sz w:val="24"/>
          <w:szCs w:val="24"/>
        </w:rPr>
        <w:t>delle</w:t>
      </w:r>
      <w:proofErr w:type="spellEnd"/>
      <w:r w:rsidRPr="00181BE3">
        <w:rPr>
          <w:rFonts w:ascii="Cambria" w:hAnsi="Cambria"/>
          <w:sz w:val="24"/>
          <w:szCs w:val="24"/>
        </w:rPr>
        <w:t xml:space="preserve"> </w:t>
      </w:r>
      <w:proofErr w:type="spellStart"/>
      <w:r w:rsidRPr="00181BE3">
        <w:rPr>
          <w:rFonts w:ascii="Cambria" w:hAnsi="Cambria"/>
          <w:sz w:val="24"/>
          <w:szCs w:val="24"/>
        </w:rPr>
        <w:t>finanze</w:t>
      </w:r>
      <w:proofErr w:type="spellEnd"/>
      <w:r w:rsidRPr="00181BE3">
        <w:rPr>
          <w:rFonts w:ascii="Cambria" w:hAnsi="Cambria"/>
          <w:sz w:val="24"/>
          <w:szCs w:val="24"/>
        </w:rPr>
        <w:t xml:space="preserve"> </w:t>
      </w:r>
      <w:proofErr w:type="spellStart"/>
      <w:r w:rsidRPr="00181BE3">
        <w:rPr>
          <w:rFonts w:ascii="Cambria" w:hAnsi="Cambria"/>
          <w:sz w:val="24"/>
          <w:szCs w:val="24"/>
        </w:rPr>
        <w:t>dello</w:t>
      </w:r>
      <w:proofErr w:type="spellEnd"/>
      <w:r w:rsidRPr="00181BE3">
        <w:rPr>
          <w:rFonts w:ascii="Cambria" w:hAnsi="Cambria"/>
          <w:sz w:val="24"/>
          <w:szCs w:val="24"/>
        </w:rPr>
        <w:t xml:space="preserve"> </w:t>
      </w:r>
      <w:proofErr w:type="spellStart"/>
      <w:r w:rsidRPr="00181BE3">
        <w:rPr>
          <w:rFonts w:ascii="Cambria" w:hAnsi="Cambria"/>
          <w:sz w:val="24"/>
          <w:szCs w:val="24"/>
        </w:rPr>
        <w:t>Stato</w:t>
      </w:r>
      <w:proofErr w:type="spellEnd"/>
      <w:r w:rsidRPr="00181BE3">
        <w:rPr>
          <w:rFonts w:ascii="Cambria" w:hAnsi="Cambria"/>
          <w:sz w:val="24"/>
          <w:szCs w:val="24"/>
        </w:rPr>
        <w:t xml:space="preserve"> v </w:t>
      </w:r>
      <w:proofErr w:type="spellStart"/>
      <w:r w:rsidRPr="00181BE3">
        <w:rPr>
          <w:rFonts w:ascii="Cambria" w:hAnsi="Cambria"/>
          <w:sz w:val="24"/>
          <w:szCs w:val="24"/>
        </w:rPr>
        <w:t>Simmenthal</w:t>
      </w:r>
      <w:proofErr w:type="spellEnd"/>
      <w:r w:rsidRPr="00181BE3">
        <w:rPr>
          <w:rFonts w:ascii="Cambria" w:hAnsi="Cambria"/>
          <w:sz w:val="24"/>
          <w:szCs w:val="24"/>
        </w:rPr>
        <w:t>, ref. C-106/77.</w:t>
      </w:r>
    </w:p>
    <w:p w14:paraId="72C76975" w14:textId="77777777" w:rsidR="00D9528D" w:rsidRPr="00181BE3" w:rsidRDefault="00D9528D" w:rsidP="00F46F95">
      <w:pPr>
        <w:pStyle w:val="NormalIndented"/>
        <w:ind w:left="284" w:firstLine="0"/>
        <w:rPr>
          <w:rFonts w:ascii="Cambria" w:hAnsi="Cambria"/>
          <w:sz w:val="24"/>
          <w:szCs w:val="24"/>
        </w:rPr>
      </w:pPr>
      <w:r w:rsidRPr="00181BE3">
        <w:rPr>
          <w:rFonts w:ascii="Cambria" w:hAnsi="Cambria"/>
          <w:sz w:val="24"/>
          <w:szCs w:val="24"/>
        </w:rPr>
        <w:t>Judgment of the CJEU of March 13, 2007, Unibet, ref. C-432/05.</w:t>
      </w:r>
    </w:p>
    <w:p w14:paraId="17D2F688" w14:textId="1084F4B0" w:rsidR="009A25E0" w:rsidRPr="00181BE3" w:rsidRDefault="009A25E0" w:rsidP="00F46F95">
      <w:pPr>
        <w:pStyle w:val="NormalIndented"/>
        <w:ind w:left="284" w:firstLine="0"/>
        <w:rPr>
          <w:rFonts w:ascii="Cambria" w:hAnsi="Cambria"/>
          <w:sz w:val="24"/>
          <w:szCs w:val="24"/>
        </w:rPr>
      </w:pPr>
      <w:r w:rsidRPr="00181BE3">
        <w:rPr>
          <w:rFonts w:ascii="Cambria" w:hAnsi="Cambria"/>
          <w:sz w:val="24"/>
          <w:szCs w:val="24"/>
        </w:rPr>
        <w:t>Judgment of the CJEU of November 19, 2019, A.K. and Others, refs. C-585/18, C-624/18 and C-625/18.</w:t>
      </w:r>
    </w:p>
    <w:p w14:paraId="57D084E1" w14:textId="4B4CD96C" w:rsidR="009A25E0" w:rsidRPr="00181BE3" w:rsidRDefault="00D9528D" w:rsidP="00F46F95">
      <w:pPr>
        <w:pStyle w:val="NormalIndented"/>
        <w:ind w:left="284" w:firstLine="0"/>
        <w:rPr>
          <w:rFonts w:ascii="Cambria" w:hAnsi="Cambria"/>
          <w:sz w:val="24"/>
          <w:szCs w:val="24"/>
        </w:rPr>
      </w:pPr>
      <w:r w:rsidRPr="00181BE3">
        <w:rPr>
          <w:rFonts w:ascii="Cambria" w:hAnsi="Cambria"/>
          <w:sz w:val="24"/>
          <w:szCs w:val="24"/>
        </w:rPr>
        <w:t>Judgment of the CJEU of March 2, 2021, A.B. and Others, ref. C-824/18.</w:t>
      </w:r>
    </w:p>
    <w:p w14:paraId="6E7EC93A" w14:textId="75868679" w:rsidR="00D9528D" w:rsidRPr="00181BE3" w:rsidRDefault="00D9528D" w:rsidP="00F46F95">
      <w:pPr>
        <w:pStyle w:val="NormalIndented"/>
        <w:ind w:left="284" w:firstLine="0"/>
        <w:rPr>
          <w:rFonts w:ascii="Cambria" w:hAnsi="Cambria"/>
          <w:sz w:val="24"/>
          <w:szCs w:val="24"/>
        </w:rPr>
      </w:pPr>
      <w:r w:rsidRPr="00181BE3">
        <w:rPr>
          <w:rFonts w:ascii="Cambria" w:hAnsi="Cambria"/>
          <w:sz w:val="24"/>
          <w:szCs w:val="24"/>
        </w:rPr>
        <w:t>Judgment of the Constitutional Tribunal of June 26, 2013, ref. K 33/12</w:t>
      </w:r>
      <w:r w:rsidR="009A25E0" w:rsidRPr="00181BE3">
        <w:rPr>
          <w:rFonts w:ascii="Cambria" w:hAnsi="Cambria"/>
          <w:sz w:val="24"/>
          <w:szCs w:val="24"/>
        </w:rPr>
        <w:t>.</w:t>
      </w:r>
    </w:p>
    <w:p w14:paraId="40B63F4D" w14:textId="171AC509" w:rsidR="00D9528D" w:rsidRPr="00181BE3" w:rsidRDefault="00D9528D" w:rsidP="00F46F95">
      <w:pPr>
        <w:pStyle w:val="NormalIndented"/>
        <w:ind w:left="284" w:firstLine="0"/>
        <w:rPr>
          <w:rFonts w:ascii="Cambria" w:hAnsi="Cambria"/>
          <w:sz w:val="24"/>
          <w:szCs w:val="24"/>
        </w:rPr>
      </w:pPr>
      <w:r w:rsidRPr="00181BE3">
        <w:rPr>
          <w:rFonts w:ascii="Cambria" w:hAnsi="Cambria"/>
          <w:sz w:val="24"/>
          <w:szCs w:val="24"/>
        </w:rPr>
        <w:t>Judgment of the Constitutional Tribunal of December 19, 2006, ref. P 37/05.</w:t>
      </w:r>
    </w:p>
    <w:p w14:paraId="672591AE" w14:textId="7ED3F44D" w:rsidR="00D9528D" w:rsidRPr="00181BE3" w:rsidRDefault="00D9528D" w:rsidP="00F46F95">
      <w:pPr>
        <w:pStyle w:val="NormalIndented"/>
        <w:ind w:left="284" w:firstLine="0"/>
        <w:rPr>
          <w:rFonts w:ascii="Cambria" w:hAnsi="Cambria"/>
          <w:sz w:val="24"/>
          <w:szCs w:val="24"/>
        </w:rPr>
      </w:pPr>
      <w:r w:rsidRPr="00181BE3">
        <w:rPr>
          <w:rFonts w:ascii="Cambria" w:hAnsi="Cambria"/>
          <w:sz w:val="24"/>
          <w:szCs w:val="24"/>
        </w:rPr>
        <w:t>Judgment of the Constitutional Tribunal (CT) of July 14, 2021, case P 7/20.</w:t>
      </w:r>
    </w:p>
    <w:p w14:paraId="7EB40C6D" w14:textId="5655CC1E" w:rsidR="00D9528D" w:rsidRPr="00181BE3" w:rsidRDefault="00D9528D" w:rsidP="00F46F95">
      <w:pPr>
        <w:pStyle w:val="NormalIndented"/>
        <w:ind w:left="284" w:firstLine="0"/>
        <w:rPr>
          <w:rFonts w:ascii="Cambria" w:hAnsi="Cambria"/>
          <w:sz w:val="24"/>
          <w:szCs w:val="24"/>
        </w:rPr>
      </w:pPr>
      <w:r w:rsidRPr="00181BE3">
        <w:rPr>
          <w:rFonts w:ascii="Cambria" w:hAnsi="Cambria"/>
          <w:sz w:val="24"/>
          <w:szCs w:val="24"/>
        </w:rPr>
        <w:t>Judgment of the Constitutional Tribunal of October 7, 2021, ref. K 3/21</w:t>
      </w:r>
    </w:p>
    <w:p w14:paraId="26B2402D" w14:textId="36A54E27" w:rsidR="00D9528D" w:rsidRPr="00181BE3" w:rsidRDefault="00D9528D" w:rsidP="00F46F95">
      <w:pPr>
        <w:pStyle w:val="NormalIndented"/>
        <w:ind w:left="284" w:firstLine="0"/>
        <w:rPr>
          <w:rFonts w:ascii="Cambria" w:hAnsi="Cambria"/>
          <w:sz w:val="24"/>
          <w:szCs w:val="24"/>
        </w:rPr>
      </w:pPr>
      <w:r w:rsidRPr="00181BE3">
        <w:rPr>
          <w:rFonts w:ascii="Cambria" w:hAnsi="Cambria"/>
          <w:sz w:val="24"/>
          <w:szCs w:val="24"/>
        </w:rPr>
        <w:t>Judgment of the Constitutional Tribunal of November 24, 2021, ref. K 6/21</w:t>
      </w:r>
    </w:p>
    <w:p w14:paraId="144813B8" w14:textId="045CA5F7" w:rsidR="00D9528D" w:rsidRPr="00181BE3" w:rsidRDefault="00D9528D" w:rsidP="00F46F95">
      <w:pPr>
        <w:pStyle w:val="NormalIndented"/>
        <w:ind w:left="284" w:firstLine="0"/>
        <w:rPr>
          <w:rFonts w:ascii="Cambria" w:hAnsi="Cambria"/>
          <w:sz w:val="24"/>
          <w:szCs w:val="24"/>
        </w:rPr>
      </w:pPr>
      <w:r w:rsidRPr="00181BE3">
        <w:rPr>
          <w:rFonts w:ascii="Cambria" w:hAnsi="Cambria"/>
          <w:sz w:val="24"/>
          <w:szCs w:val="24"/>
        </w:rPr>
        <w:t>Judgment of the Constitutional Tribunal of March 10, 2022, ref. K 7/21.</w:t>
      </w:r>
    </w:p>
    <w:p w14:paraId="1CCBFD3D" w14:textId="2C2930B1" w:rsidR="00D9528D" w:rsidRPr="00181BE3" w:rsidRDefault="00D9528D" w:rsidP="00F46F95">
      <w:pPr>
        <w:pStyle w:val="NormalIndented"/>
        <w:ind w:left="284" w:firstLine="0"/>
        <w:rPr>
          <w:rFonts w:ascii="Cambria" w:hAnsi="Cambria"/>
          <w:sz w:val="24"/>
          <w:szCs w:val="24"/>
        </w:rPr>
      </w:pPr>
      <w:r w:rsidRPr="00181BE3">
        <w:rPr>
          <w:rFonts w:ascii="Cambria" w:hAnsi="Cambria"/>
          <w:sz w:val="24"/>
          <w:szCs w:val="24"/>
        </w:rPr>
        <w:t xml:space="preserve">Judgment of the ECtHR of May 7, 2021, case of Xero Flor w </w:t>
      </w:r>
      <w:proofErr w:type="spellStart"/>
      <w:r w:rsidRPr="00181BE3">
        <w:rPr>
          <w:rFonts w:ascii="Cambria" w:hAnsi="Cambria"/>
          <w:sz w:val="24"/>
          <w:szCs w:val="24"/>
        </w:rPr>
        <w:t>Polsce</w:t>
      </w:r>
      <w:proofErr w:type="spellEnd"/>
      <w:r w:rsidRPr="00181BE3">
        <w:rPr>
          <w:rFonts w:ascii="Cambria" w:hAnsi="Cambria"/>
          <w:sz w:val="24"/>
          <w:szCs w:val="24"/>
        </w:rPr>
        <w:t xml:space="preserve"> sp. z </w:t>
      </w:r>
      <w:proofErr w:type="spellStart"/>
      <w:r w:rsidRPr="00181BE3">
        <w:rPr>
          <w:rFonts w:ascii="Cambria" w:hAnsi="Cambria"/>
          <w:sz w:val="24"/>
          <w:szCs w:val="24"/>
        </w:rPr>
        <w:t>o.o.</w:t>
      </w:r>
      <w:proofErr w:type="spellEnd"/>
      <w:r w:rsidRPr="00181BE3">
        <w:rPr>
          <w:rFonts w:ascii="Cambria" w:hAnsi="Cambria"/>
          <w:sz w:val="24"/>
          <w:szCs w:val="24"/>
        </w:rPr>
        <w:t xml:space="preserve"> v Poland, application no. 4907/18.</w:t>
      </w:r>
    </w:p>
    <w:p w14:paraId="2D1728C8" w14:textId="2E59168E" w:rsidR="00D9528D" w:rsidRPr="00181BE3" w:rsidRDefault="00D9528D" w:rsidP="00F46F95">
      <w:pPr>
        <w:pStyle w:val="NormalIndented"/>
        <w:ind w:left="284" w:firstLine="0"/>
        <w:rPr>
          <w:rFonts w:ascii="Cambria" w:hAnsi="Cambria"/>
          <w:sz w:val="24"/>
          <w:szCs w:val="24"/>
        </w:rPr>
      </w:pPr>
      <w:r w:rsidRPr="00181BE3">
        <w:rPr>
          <w:rFonts w:ascii="Cambria" w:hAnsi="Cambria"/>
          <w:sz w:val="24"/>
          <w:szCs w:val="24"/>
        </w:rPr>
        <w:t xml:space="preserve">Judgment of the ECtHR of June 29, 2021, Broda and </w:t>
      </w:r>
      <w:proofErr w:type="spellStart"/>
      <w:r w:rsidRPr="00181BE3">
        <w:rPr>
          <w:rFonts w:ascii="Cambria" w:hAnsi="Cambria"/>
          <w:sz w:val="24"/>
          <w:szCs w:val="24"/>
        </w:rPr>
        <w:t>Bojara</w:t>
      </w:r>
      <w:proofErr w:type="spellEnd"/>
      <w:r w:rsidRPr="00181BE3">
        <w:rPr>
          <w:rFonts w:ascii="Cambria" w:hAnsi="Cambria"/>
          <w:sz w:val="24"/>
          <w:szCs w:val="24"/>
        </w:rPr>
        <w:t xml:space="preserve"> v. Poland, application nos. 26691/18 and 27367/18.</w:t>
      </w:r>
    </w:p>
    <w:p w14:paraId="002C0155" w14:textId="594A63EC" w:rsidR="00D9528D" w:rsidRPr="00181BE3" w:rsidRDefault="00D9528D" w:rsidP="00F46F95">
      <w:pPr>
        <w:pStyle w:val="NormalIndented"/>
        <w:ind w:left="284" w:firstLine="0"/>
        <w:rPr>
          <w:rFonts w:ascii="Cambria" w:hAnsi="Cambria"/>
          <w:sz w:val="24"/>
          <w:szCs w:val="24"/>
        </w:rPr>
      </w:pPr>
      <w:r w:rsidRPr="00181BE3">
        <w:rPr>
          <w:rFonts w:ascii="Cambria" w:hAnsi="Cambria"/>
          <w:sz w:val="24"/>
          <w:szCs w:val="24"/>
        </w:rPr>
        <w:t xml:space="preserve">Judgment of the ECtHR of July 22, 2021, </w:t>
      </w:r>
      <w:proofErr w:type="spellStart"/>
      <w:r w:rsidRPr="00181BE3">
        <w:rPr>
          <w:rFonts w:ascii="Cambria" w:hAnsi="Cambria"/>
          <w:sz w:val="24"/>
          <w:szCs w:val="24"/>
        </w:rPr>
        <w:t>Reczkowicz</w:t>
      </w:r>
      <w:proofErr w:type="spellEnd"/>
      <w:r w:rsidRPr="00181BE3">
        <w:rPr>
          <w:rFonts w:ascii="Cambria" w:hAnsi="Cambria"/>
          <w:sz w:val="24"/>
          <w:szCs w:val="24"/>
        </w:rPr>
        <w:t xml:space="preserve"> v. Poland, application no. 43447/19.</w:t>
      </w:r>
    </w:p>
    <w:p w14:paraId="56112545" w14:textId="63E48B34" w:rsidR="00D9528D" w:rsidRPr="00181BE3" w:rsidRDefault="00D9528D" w:rsidP="00F46F95">
      <w:pPr>
        <w:pStyle w:val="NormalIndented"/>
        <w:ind w:left="284" w:firstLine="0"/>
        <w:rPr>
          <w:rFonts w:ascii="Cambria" w:hAnsi="Cambria"/>
          <w:sz w:val="24"/>
          <w:szCs w:val="24"/>
        </w:rPr>
      </w:pPr>
      <w:r w:rsidRPr="00181BE3">
        <w:rPr>
          <w:rFonts w:ascii="Cambria" w:hAnsi="Cambria"/>
          <w:sz w:val="24"/>
          <w:szCs w:val="24"/>
        </w:rPr>
        <w:lastRenderedPageBreak/>
        <w:t>Judgment of the ECtHR of November 8, 2021, Dolińska-Ficek and Ozimek v Poland, application nos. 49868/19 and 57511/19.</w:t>
      </w:r>
    </w:p>
    <w:p w14:paraId="11FACA7F" w14:textId="4DCF5D4B" w:rsidR="00D9528D" w:rsidRPr="00181BE3" w:rsidRDefault="00D9528D" w:rsidP="00F46F95">
      <w:pPr>
        <w:pStyle w:val="NormalIndented"/>
        <w:ind w:left="284" w:firstLine="0"/>
        <w:rPr>
          <w:rFonts w:ascii="Cambria" w:hAnsi="Cambria"/>
          <w:sz w:val="24"/>
          <w:szCs w:val="24"/>
        </w:rPr>
      </w:pPr>
      <w:r w:rsidRPr="00181BE3">
        <w:rPr>
          <w:rFonts w:ascii="Cambria" w:hAnsi="Cambria"/>
          <w:sz w:val="24"/>
          <w:szCs w:val="24"/>
        </w:rPr>
        <w:t>Judgment of the ECtHR of November 23, 2023, Wałęsa v Poland, application no. 50849/21.</w:t>
      </w:r>
    </w:p>
    <w:p w14:paraId="0C9A4C43" w14:textId="7D2589A6" w:rsidR="00D9528D" w:rsidRPr="00181BE3" w:rsidRDefault="00D9528D" w:rsidP="00F46F95">
      <w:pPr>
        <w:pStyle w:val="NormalIndented"/>
        <w:ind w:left="284" w:firstLine="0"/>
        <w:rPr>
          <w:rFonts w:ascii="Cambria" w:hAnsi="Cambria"/>
          <w:sz w:val="24"/>
          <w:szCs w:val="24"/>
        </w:rPr>
      </w:pPr>
      <w:r w:rsidRPr="00181BE3">
        <w:rPr>
          <w:rFonts w:ascii="Cambria" w:hAnsi="Cambria"/>
          <w:sz w:val="24"/>
          <w:szCs w:val="24"/>
        </w:rPr>
        <w:t>Judgment of the ECtHR of December 14, 2023, M.L. v Poland, application no. 40119/21.</w:t>
      </w:r>
    </w:p>
    <w:p w14:paraId="24C82C3F" w14:textId="3E711D72" w:rsidR="009A25E0" w:rsidRPr="00181BE3" w:rsidRDefault="009A25E0" w:rsidP="00F46F95">
      <w:pPr>
        <w:pStyle w:val="NormalIndented"/>
        <w:ind w:left="284" w:firstLine="0"/>
        <w:rPr>
          <w:rFonts w:ascii="Cambria" w:hAnsi="Cambria"/>
          <w:sz w:val="24"/>
          <w:szCs w:val="24"/>
        </w:rPr>
      </w:pPr>
      <w:r w:rsidRPr="00181BE3">
        <w:rPr>
          <w:rFonts w:ascii="Cambria" w:hAnsi="Cambria"/>
          <w:sz w:val="24"/>
          <w:szCs w:val="24"/>
        </w:rPr>
        <w:t>Order of the CJEU of April 8, 2020, European Commission v Republic of Poland, ref. C-791/19 R.</w:t>
      </w:r>
    </w:p>
    <w:p w14:paraId="3C6B62FC" w14:textId="66F01E52" w:rsidR="009A25E0" w:rsidRPr="00181BE3" w:rsidRDefault="009A25E0" w:rsidP="00F46F95">
      <w:pPr>
        <w:pStyle w:val="NormalIndented"/>
        <w:ind w:left="284" w:firstLine="0"/>
        <w:rPr>
          <w:rFonts w:ascii="Cambria" w:hAnsi="Cambria"/>
          <w:sz w:val="24"/>
          <w:szCs w:val="24"/>
        </w:rPr>
      </w:pPr>
      <w:r w:rsidRPr="00181BE3">
        <w:rPr>
          <w:rFonts w:ascii="Cambria" w:hAnsi="Cambria"/>
          <w:sz w:val="24"/>
          <w:szCs w:val="24"/>
        </w:rPr>
        <w:t>Order of the Supreme Court of August 30, 2018, ref. III PO 7/18</w:t>
      </w:r>
    </w:p>
    <w:p w14:paraId="4504C5A5" w14:textId="160B8D00" w:rsidR="009A25E0" w:rsidRPr="00181BE3" w:rsidRDefault="009A25E0" w:rsidP="00F46F95">
      <w:pPr>
        <w:pStyle w:val="NormalIndented"/>
        <w:ind w:left="284" w:firstLine="0"/>
        <w:rPr>
          <w:rFonts w:ascii="Cambria" w:hAnsi="Cambria"/>
          <w:sz w:val="24"/>
          <w:szCs w:val="24"/>
        </w:rPr>
      </w:pPr>
      <w:r w:rsidRPr="00181BE3">
        <w:rPr>
          <w:rFonts w:ascii="Cambria" w:hAnsi="Cambria"/>
          <w:sz w:val="24"/>
          <w:szCs w:val="24"/>
        </w:rPr>
        <w:t>Order of the Supreme Court of April 9, 2020, ref. I DO 16/20.</w:t>
      </w:r>
    </w:p>
    <w:p w14:paraId="1ADC41DD" w14:textId="37D0A64B" w:rsidR="00D9528D" w:rsidRPr="00181BE3" w:rsidRDefault="00D9528D" w:rsidP="00F46F95">
      <w:pPr>
        <w:pStyle w:val="NormalIndented"/>
        <w:ind w:left="284" w:firstLine="0"/>
        <w:rPr>
          <w:rFonts w:ascii="Cambria" w:hAnsi="Cambria"/>
          <w:sz w:val="24"/>
          <w:szCs w:val="24"/>
        </w:rPr>
      </w:pPr>
      <w:r w:rsidRPr="00181BE3">
        <w:rPr>
          <w:rFonts w:ascii="Cambria" w:hAnsi="Cambria"/>
          <w:sz w:val="24"/>
          <w:szCs w:val="24"/>
        </w:rPr>
        <w:t>Order of the Supreme Court of June 24, 2022, ref. I CNP 126/22.</w:t>
      </w:r>
    </w:p>
    <w:p w14:paraId="36A4D83D" w14:textId="534B0F79" w:rsidR="009A25E0" w:rsidRPr="00181BE3" w:rsidRDefault="00D9528D" w:rsidP="00F46F95">
      <w:pPr>
        <w:pStyle w:val="NormalIndented"/>
        <w:ind w:left="284" w:firstLine="0"/>
        <w:rPr>
          <w:rFonts w:ascii="Cambria" w:hAnsi="Cambria"/>
          <w:sz w:val="24"/>
          <w:szCs w:val="24"/>
        </w:rPr>
      </w:pPr>
      <w:r w:rsidRPr="00181BE3">
        <w:rPr>
          <w:rFonts w:ascii="Cambria" w:hAnsi="Cambria"/>
          <w:sz w:val="24"/>
          <w:szCs w:val="24"/>
        </w:rPr>
        <w:t>Order of the Supreme Court of June 28, 2023, ref. I USK 326/22.</w:t>
      </w:r>
    </w:p>
    <w:p w14:paraId="75AA3D1A" w14:textId="3FFDAE6C" w:rsidR="00D9528D" w:rsidRPr="00181BE3" w:rsidRDefault="00D9528D" w:rsidP="00F46F95">
      <w:pPr>
        <w:pStyle w:val="NormalIndented"/>
        <w:ind w:left="284" w:firstLine="0"/>
        <w:rPr>
          <w:rFonts w:ascii="Cambria" w:hAnsi="Cambria"/>
          <w:sz w:val="24"/>
          <w:szCs w:val="24"/>
        </w:rPr>
      </w:pPr>
      <w:r w:rsidRPr="00181BE3">
        <w:rPr>
          <w:rFonts w:ascii="Cambria" w:hAnsi="Cambria"/>
          <w:sz w:val="24"/>
          <w:szCs w:val="24"/>
        </w:rPr>
        <w:t>Order of the Supreme Court (7 judges) of December 13, 2023, ref. I KZP 5/23.</w:t>
      </w:r>
    </w:p>
    <w:p w14:paraId="063E5C82" w14:textId="77777777" w:rsidR="00D9528D" w:rsidRPr="00181BE3" w:rsidRDefault="00D9528D" w:rsidP="00F46F95">
      <w:pPr>
        <w:pStyle w:val="NormalIndented"/>
        <w:ind w:left="284" w:firstLine="0"/>
        <w:rPr>
          <w:rFonts w:ascii="Cambria" w:hAnsi="Cambria"/>
          <w:sz w:val="24"/>
          <w:szCs w:val="24"/>
        </w:rPr>
      </w:pPr>
      <w:r w:rsidRPr="00181BE3">
        <w:rPr>
          <w:rFonts w:ascii="Cambria" w:hAnsi="Cambria"/>
          <w:sz w:val="24"/>
          <w:szCs w:val="24"/>
        </w:rPr>
        <w:t>Resolution of the Supreme Court (7 judges) of December 17, 2009, ref. III PZP 2/09.</w:t>
      </w:r>
    </w:p>
    <w:p w14:paraId="74D36EF1" w14:textId="6BB4DE7C" w:rsidR="00D32B47" w:rsidRPr="00181BE3" w:rsidRDefault="00D9528D" w:rsidP="00F46F95">
      <w:pPr>
        <w:pStyle w:val="NormalIndented"/>
        <w:spacing w:after="240"/>
        <w:ind w:left="284" w:firstLine="0"/>
        <w:rPr>
          <w:rFonts w:ascii="Cambria" w:hAnsi="Cambria"/>
          <w:sz w:val="24"/>
          <w:szCs w:val="24"/>
        </w:rPr>
      </w:pPr>
      <w:r w:rsidRPr="00181BE3">
        <w:rPr>
          <w:rFonts w:ascii="Cambria" w:hAnsi="Cambria"/>
          <w:sz w:val="24"/>
          <w:szCs w:val="24"/>
        </w:rPr>
        <w:t>Resolution of the Supreme Court (combined Civil Chamber, Criminal Chamber, and Labour Law and Social Security Chamber) of January 23, 2020, ref. BSA I-4110-1/20.</w:t>
      </w:r>
    </w:p>
    <w:p w14:paraId="3016B889" w14:textId="285BC722" w:rsidR="00394384" w:rsidRPr="00181BE3" w:rsidRDefault="00115D5C" w:rsidP="00F46F95">
      <w:pPr>
        <w:pStyle w:val="Nagwek2"/>
        <w:ind w:left="284" w:firstLine="0"/>
        <w:rPr>
          <w:rFonts w:ascii="Cambria" w:hAnsi="Cambria"/>
          <w:sz w:val="24"/>
          <w:szCs w:val="24"/>
        </w:rPr>
      </w:pPr>
      <w:r w:rsidRPr="00181BE3">
        <w:rPr>
          <w:rFonts w:ascii="Cambria" w:hAnsi="Cambria"/>
          <w:sz w:val="24"/>
          <w:szCs w:val="24"/>
        </w:rPr>
        <w:t>Miscellaneous</w:t>
      </w:r>
      <w:r w:rsidR="001A679A" w:rsidRPr="00181BE3">
        <w:rPr>
          <w:rFonts w:ascii="Cambria" w:hAnsi="Cambria"/>
          <w:sz w:val="24"/>
          <w:szCs w:val="24"/>
        </w:rPr>
        <w:t xml:space="preserve"> </w:t>
      </w:r>
    </w:p>
    <w:p w14:paraId="23926901" w14:textId="690E77E8" w:rsidR="009A25E0" w:rsidRPr="00181BE3" w:rsidRDefault="009A25E0" w:rsidP="00F46F95">
      <w:pPr>
        <w:pStyle w:val="NormalIndented"/>
        <w:ind w:left="284" w:firstLine="0"/>
        <w:rPr>
          <w:rFonts w:ascii="Cambria" w:hAnsi="Cambria"/>
          <w:sz w:val="24"/>
          <w:szCs w:val="24"/>
        </w:rPr>
      </w:pPr>
      <w:r w:rsidRPr="00181BE3">
        <w:rPr>
          <w:rFonts w:ascii="Cambria" w:hAnsi="Cambria"/>
          <w:sz w:val="24"/>
          <w:szCs w:val="24"/>
        </w:rPr>
        <w:t>Action brought on 17 July 2023 – European Commission v Republic of Poland, Case C-448/23, &lt;</w:t>
      </w:r>
      <w:r w:rsidR="00F46F95" w:rsidRPr="00181BE3">
        <w:rPr>
          <w:rFonts w:ascii="Cambria" w:hAnsi="Cambria"/>
          <w:sz w:val="24"/>
          <w:szCs w:val="24"/>
        </w:rPr>
        <w:t> </w:t>
      </w:r>
      <w:hyperlink r:id="rId11" w:history="1">
        <w:r w:rsidRPr="00181BE3">
          <w:rPr>
            <w:rStyle w:val="Hipercze"/>
            <w:rFonts w:ascii="Cambria" w:hAnsi="Cambria"/>
            <w:sz w:val="24"/>
            <w:szCs w:val="24"/>
          </w:rPr>
          <w:t>https://curia.europa.eu/juris/document/document.jsf?text=&amp;docid=276732&amp;pageIndex=0&amp;doclang=EN&amp;mode=lst&amp;dir=&amp;occ=first&amp;part=1&amp;cid=3553498</w:t>
        </w:r>
      </w:hyperlink>
      <w:r w:rsidRPr="00181BE3">
        <w:rPr>
          <w:rFonts w:ascii="Cambria" w:hAnsi="Cambria"/>
          <w:sz w:val="24"/>
          <w:szCs w:val="24"/>
        </w:rPr>
        <w:t xml:space="preserve"> &gt;, [Accessed: February 23, 2024].</w:t>
      </w:r>
    </w:p>
    <w:p w14:paraId="3BDA6236" w14:textId="793DD682" w:rsidR="00292BE0" w:rsidRPr="00181BE3" w:rsidRDefault="00292BE0" w:rsidP="00292BE0">
      <w:pPr>
        <w:pStyle w:val="NormalIndented"/>
        <w:ind w:left="284" w:firstLine="0"/>
        <w:rPr>
          <w:rFonts w:ascii="Cambria" w:hAnsi="Cambria"/>
          <w:sz w:val="24"/>
          <w:szCs w:val="24"/>
        </w:rPr>
      </w:pPr>
      <w:r w:rsidRPr="00181BE3">
        <w:rPr>
          <w:rFonts w:ascii="Cambria" w:hAnsi="Cambria"/>
          <w:sz w:val="24"/>
          <w:szCs w:val="24"/>
        </w:rPr>
        <w:t>The motion of the Prime Minister in CT case K 3/21, &lt; </w:t>
      </w:r>
      <w:hyperlink r:id="rId12" w:history="1">
        <w:r w:rsidRPr="00181BE3">
          <w:rPr>
            <w:rStyle w:val="Hipercze"/>
            <w:rFonts w:ascii="Cambria" w:hAnsi="Cambria"/>
            <w:sz w:val="24"/>
            <w:szCs w:val="24"/>
          </w:rPr>
          <w:t>https://ipo.trybunal.gov.pl/</w:t>
        </w:r>
        <w:r w:rsidRPr="00181BE3">
          <w:rPr>
            <w:rStyle w:val="Hipercze"/>
            <w:rFonts w:ascii="Cambria" w:hAnsi="Cambria"/>
            <w:sz w:val="24"/>
            <w:szCs w:val="24"/>
          </w:rPr>
          <w:br/>
        </w:r>
        <w:proofErr w:type="spellStart"/>
        <w:r w:rsidRPr="00181BE3">
          <w:rPr>
            <w:rStyle w:val="Hipercze"/>
            <w:rFonts w:ascii="Cambria" w:hAnsi="Cambria"/>
            <w:sz w:val="24"/>
            <w:szCs w:val="24"/>
          </w:rPr>
          <w:t>ipo</w:t>
        </w:r>
        <w:proofErr w:type="spellEnd"/>
        <w:r w:rsidRPr="00181BE3">
          <w:rPr>
            <w:rStyle w:val="Hipercze"/>
            <w:rFonts w:ascii="Cambria" w:hAnsi="Cambria"/>
            <w:sz w:val="24"/>
            <w:szCs w:val="24"/>
          </w:rPr>
          <w:t>/</w:t>
        </w:r>
        <w:proofErr w:type="spellStart"/>
        <w:r w:rsidRPr="00181BE3">
          <w:rPr>
            <w:rStyle w:val="Hipercze"/>
            <w:rFonts w:ascii="Cambria" w:hAnsi="Cambria"/>
            <w:sz w:val="24"/>
            <w:szCs w:val="24"/>
          </w:rPr>
          <w:t>dok?dok</w:t>
        </w:r>
        <w:proofErr w:type="spellEnd"/>
        <w:r w:rsidRPr="00181BE3">
          <w:rPr>
            <w:rStyle w:val="Hipercze"/>
            <w:rFonts w:ascii="Cambria" w:hAnsi="Cambria"/>
            <w:sz w:val="24"/>
            <w:szCs w:val="24"/>
          </w:rPr>
          <w:t>=F1225335688%2FK_3_21_wns_2021_03_29_ADO.pdf</w:t>
        </w:r>
      </w:hyperlink>
      <w:r w:rsidRPr="00181BE3">
        <w:rPr>
          <w:rFonts w:ascii="Cambria" w:hAnsi="Cambria"/>
          <w:sz w:val="24"/>
          <w:szCs w:val="24"/>
        </w:rPr>
        <w:t> &gt;, [accessed: February 22, 2024].</w:t>
      </w:r>
    </w:p>
    <w:p w14:paraId="635A4341" w14:textId="426F1DE3" w:rsidR="009A25E0" w:rsidRPr="00181BE3" w:rsidRDefault="009A25E0" w:rsidP="00F46F95">
      <w:pPr>
        <w:pStyle w:val="NormalIndented"/>
        <w:ind w:left="284" w:firstLine="0"/>
        <w:rPr>
          <w:rFonts w:ascii="Cambria" w:hAnsi="Cambria"/>
          <w:sz w:val="24"/>
          <w:szCs w:val="24"/>
        </w:rPr>
      </w:pPr>
      <w:r w:rsidRPr="00181BE3">
        <w:rPr>
          <w:rFonts w:ascii="Cambria" w:hAnsi="Cambria"/>
          <w:sz w:val="24"/>
          <w:szCs w:val="24"/>
        </w:rPr>
        <w:t>The motion of the Prosecutor General in CT case K 7/21, &lt;</w:t>
      </w:r>
      <w:r w:rsidR="008902A2" w:rsidRPr="00181BE3">
        <w:rPr>
          <w:rFonts w:ascii="Cambria" w:hAnsi="Cambria"/>
          <w:sz w:val="24"/>
          <w:szCs w:val="24"/>
        </w:rPr>
        <w:t> </w:t>
      </w:r>
      <w:hyperlink r:id="rId13" w:history="1">
        <w:r w:rsidRPr="00181BE3">
          <w:rPr>
            <w:rStyle w:val="Hipercze"/>
            <w:rFonts w:ascii="Cambria" w:hAnsi="Cambria"/>
            <w:sz w:val="24"/>
            <w:szCs w:val="24"/>
          </w:rPr>
          <w:t>https://ipo.trybunal.gov.pl/ipo/</w:t>
        </w:r>
        <w:r w:rsidR="008902A2" w:rsidRPr="00181BE3">
          <w:rPr>
            <w:rStyle w:val="Hipercze"/>
            <w:rFonts w:ascii="Cambria" w:hAnsi="Cambria"/>
            <w:sz w:val="24"/>
            <w:szCs w:val="24"/>
          </w:rPr>
          <w:br/>
        </w:r>
        <w:r w:rsidRPr="00181BE3">
          <w:rPr>
            <w:rStyle w:val="Hipercze"/>
            <w:rFonts w:ascii="Cambria" w:hAnsi="Cambria"/>
            <w:sz w:val="24"/>
            <w:szCs w:val="24"/>
          </w:rPr>
          <w:t>dok?dok=8d7ecce7-c7a5-433c-b4b9-0a92f1e301d5%2FK_7_21_wns_2021_11_09_ADO.pdf</w:t>
        </w:r>
        <w:r w:rsidR="008902A2" w:rsidRPr="00181BE3">
          <w:rPr>
            <w:rStyle w:val="Hipercze"/>
            <w:rFonts w:ascii="Cambria" w:hAnsi="Cambria"/>
            <w:sz w:val="24"/>
            <w:szCs w:val="24"/>
          </w:rPr>
          <w:t> </w:t>
        </w:r>
      </w:hyperlink>
      <w:r w:rsidRPr="00181BE3">
        <w:rPr>
          <w:rFonts w:ascii="Cambria" w:hAnsi="Cambria"/>
          <w:sz w:val="24"/>
          <w:szCs w:val="24"/>
        </w:rPr>
        <w:t>&gt;, supplemented with a further filing in the same case &lt;</w:t>
      </w:r>
      <w:r w:rsidR="008902A2" w:rsidRPr="00181BE3">
        <w:rPr>
          <w:rFonts w:ascii="Cambria" w:hAnsi="Cambria"/>
          <w:sz w:val="24"/>
          <w:szCs w:val="24"/>
        </w:rPr>
        <w:t> </w:t>
      </w:r>
      <w:hyperlink r:id="rId14" w:history="1">
        <w:r w:rsidRPr="00181BE3">
          <w:rPr>
            <w:rStyle w:val="Hipercze"/>
            <w:rFonts w:ascii="Cambria" w:hAnsi="Cambria"/>
            <w:sz w:val="24"/>
            <w:szCs w:val="24"/>
          </w:rPr>
          <w:t>https://ipo.trybunal.gov.pl/ipo/</w:t>
        </w:r>
        <w:r w:rsidR="008902A2" w:rsidRPr="00181BE3">
          <w:rPr>
            <w:rStyle w:val="Hipercze"/>
            <w:rFonts w:ascii="Cambria" w:hAnsi="Cambria"/>
            <w:sz w:val="24"/>
            <w:szCs w:val="24"/>
          </w:rPr>
          <w:br/>
        </w:r>
        <w:r w:rsidRPr="00181BE3">
          <w:rPr>
            <w:rStyle w:val="Hipercze"/>
            <w:rFonts w:ascii="Cambria" w:hAnsi="Cambria"/>
            <w:sz w:val="24"/>
            <w:szCs w:val="24"/>
          </w:rPr>
          <w:lastRenderedPageBreak/>
          <w:t>dok?dok=f8601baa-62e3-485e-9990-9965db55654c%2FK_7_21_pg_2022_01_13_ADO.pdf</w:t>
        </w:r>
        <w:r w:rsidR="008902A2" w:rsidRPr="00181BE3">
          <w:rPr>
            <w:rStyle w:val="Hipercze"/>
            <w:rFonts w:ascii="Cambria" w:hAnsi="Cambria"/>
            <w:sz w:val="24"/>
            <w:szCs w:val="24"/>
          </w:rPr>
          <w:t> </w:t>
        </w:r>
      </w:hyperlink>
      <w:r w:rsidRPr="00181BE3">
        <w:rPr>
          <w:rFonts w:ascii="Cambria" w:hAnsi="Cambria"/>
          <w:sz w:val="24"/>
          <w:szCs w:val="24"/>
        </w:rPr>
        <w:t>&gt;</w:t>
      </w:r>
      <w:r w:rsidR="008902A2" w:rsidRPr="00181BE3">
        <w:rPr>
          <w:rFonts w:ascii="Cambria" w:hAnsi="Cambria"/>
          <w:sz w:val="24"/>
          <w:szCs w:val="24"/>
        </w:rPr>
        <w:t>,</w:t>
      </w:r>
      <w:r w:rsidRPr="00181BE3">
        <w:rPr>
          <w:rFonts w:ascii="Cambria" w:hAnsi="Cambria"/>
          <w:sz w:val="24"/>
          <w:szCs w:val="24"/>
        </w:rPr>
        <w:t xml:space="preserve"> [accessed: February 22, 2024].</w:t>
      </w:r>
    </w:p>
    <w:p w14:paraId="0F3295E7" w14:textId="7D868D11" w:rsidR="009A25E0" w:rsidRPr="00181BE3" w:rsidRDefault="009A25E0" w:rsidP="00F46F95">
      <w:pPr>
        <w:pStyle w:val="NormalIndented"/>
        <w:ind w:left="284" w:firstLine="0"/>
        <w:rPr>
          <w:rFonts w:ascii="Cambria" w:hAnsi="Cambria"/>
          <w:sz w:val="24"/>
          <w:szCs w:val="24"/>
        </w:rPr>
      </w:pPr>
      <w:r w:rsidRPr="00181BE3">
        <w:rPr>
          <w:rFonts w:ascii="Cambria" w:hAnsi="Cambria"/>
          <w:sz w:val="24"/>
          <w:szCs w:val="24"/>
        </w:rPr>
        <w:t>The motion of the Prosecutor General in CT case K 6/21, &lt;</w:t>
      </w:r>
      <w:r w:rsidR="008902A2" w:rsidRPr="00181BE3">
        <w:rPr>
          <w:rFonts w:ascii="Cambria" w:hAnsi="Cambria"/>
          <w:sz w:val="24"/>
          <w:szCs w:val="24"/>
        </w:rPr>
        <w:t> </w:t>
      </w:r>
      <w:hyperlink r:id="rId15" w:history="1">
        <w:r w:rsidRPr="00181BE3">
          <w:rPr>
            <w:rStyle w:val="Hipercze"/>
            <w:rFonts w:ascii="Cambria" w:hAnsi="Cambria"/>
            <w:sz w:val="24"/>
            <w:szCs w:val="24"/>
          </w:rPr>
          <w:t>https://ipo.trybunal.gov.pl/ipo/dok?</w:t>
        </w:r>
        <w:r w:rsidR="008902A2" w:rsidRPr="00181BE3">
          <w:rPr>
            <w:rStyle w:val="Hipercze"/>
            <w:rFonts w:ascii="Cambria" w:hAnsi="Cambria"/>
            <w:sz w:val="24"/>
            <w:szCs w:val="24"/>
          </w:rPr>
          <w:br/>
        </w:r>
        <w:r w:rsidRPr="00181BE3">
          <w:rPr>
            <w:rStyle w:val="Hipercze"/>
            <w:rFonts w:ascii="Cambria" w:hAnsi="Cambria"/>
            <w:sz w:val="24"/>
            <w:szCs w:val="24"/>
          </w:rPr>
          <w:t>dok=124186a3-1771-4e05-85c2-b9d09e8ca6ea%2FK_6_21_wns_2021_07_27_ADO.pdf</w:t>
        </w:r>
        <w:r w:rsidR="008902A2" w:rsidRPr="00181BE3">
          <w:rPr>
            <w:rStyle w:val="Hipercze"/>
            <w:rFonts w:ascii="Cambria" w:hAnsi="Cambria"/>
            <w:sz w:val="24"/>
            <w:szCs w:val="24"/>
          </w:rPr>
          <w:t> </w:t>
        </w:r>
      </w:hyperlink>
      <w:r w:rsidRPr="00181BE3">
        <w:rPr>
          <w:rFonts w:ascii="Cambria" w:hAnsi="Cambria"/>
          <w:sz w:val="24"/>
          <w:szCs w:val="24"/>
        </w:rPr>
        <w:t>&gt;, [accessed: February 22, 2024].</w:t>
      </w:r>
    </w:p>
    <w:p w14:paraId="575DC1C7" w14:textId="77777777" w:rsidR="006A3E04" w:rsidRPr="00181BE3" w:rsidRDefault="006A3E04" w:rsidP="00D32B47">
      <w:pPr>
        <w:pStyle w:val="NormalIndented"/>
        <w:rPr>
          <w:rFonts w:ascii="Cambria" w:hAnsi="Cambria"/>
          <w:sz w:val="24"/>
          <w:szCs w:val="24"/>
        </w:rPr>
      </w:pPr>
    </w:p>
    <w:sectPr w:rsidR="006A3E04" w:rsidRPr="00181B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E78F4" w14:textId="77777777" w:rsidR="00800E52" w:rsidRDefault="00800E52" w:rsidP="00D06229">
      <w:pPr>
        <w:spacing w:after="0" w:line="240" w:lineRule="auto"/>
      </w:pPr>
      <w:r>
        <w:separator/>
      </w:r>
    </w:p>
  </w:endnote>
  <w:endnote w:type="continuationSeparator" w:id="0">
    <w:p w14:paraId="135DC34C" w14:textId="77777777" w:rsidR="00800E52" w:rsidRDefault="00800E52" w:rsidP="00D06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24357" w14:textId="77777777" w:rsidR="00800E52" w:rsidRDefault="00800E52" w:rsidP="00D06229">
      <w:pPr>
        <w:spacing w:after="0" w:line="240" w:lineRule="auto"/>
      </w:pPr>
      <w:r>
        <w:separator/>
      </w:r>
    </w:p>
  </w:footnote>
  <w:footnote w:type="continuationSeparator" w:id="0">
    <w:p w14:paraId="51A214F7" w14:textId="77777777" w:rsidR="00800E52" w:rsidRDefault="00800E52" w:rsidP="00D06229">
      <w:pPr>
        <w:spacing w:after="0" w:line="240" w:lineRule="auto"/>
      </w:pPr>
      <w:r>
        <w:continuationSeparator/>
      </w:r>
    </w:p>
  </w:footnote>
  <w:footnote w:id="1">
    <w:p w14:paraId="4375C3C2" w14:textId="014D3DB5" w:rsidR="004E4210" w:rsidRPr="00673C8C" w:rsidRDefault="004E4210" w:rsidP="004E4210">
      <w:pPr>
        <w:pStyle w:val="Tekstprzypisudolnego"/>
        <w:rPr>
          <w:lang w:val="en-GB"/>
        </w:rPr>
      </w:pPr>
      <w:r>
        <w:rPr>
          <w:rStyle w:val="Odwoanieprzypisudolnego"/>
        </w:rPr>
        <w:footnoteRef/>
      </w:r>
      <w:r w:rsidR="003305F6">
        <w:rPr>
          <w:lang w:val="en-GB"/>
        </w:rPr>
        <w:t> </w:t>
      </w:r>
      <w:r w:rsidRPr="00673C8C">
        <w:rPr>
          <w:lang w:val="en-GB"/>
        </w:rPr>
        <w:t>The Constitution of The Republic o</w:t>
      </w:r>
      <w:r>
        <w:rPr>
          <w:lang w:val="en-GB"/>
        </w:rPr>
        <w:t xml:space="preserve">f Poland of </w:t>
      </w:r>
      <w:r w:rsidR="00425132">
        <w:rPr>
          <w:lang w:val="en-GB"/>
        </w:rPr>
        <w:t xml:space="preserve">2 </w:t>
      </w:r>
      <w:r>
        <w:rPr>
          <w:lang w:val="en-GB"/>
        </w:rPr>
        <w:t>April</w:t>
      </w:r>
      <w:r w:rsidR="00425132">
        <w:rPr>
          <w:lang w:val="en-GB"/>
        </w:rPr>
        <w:t xml:space="preserve"> </w:t>
      </w:r>
      <w:r>
        <w:rPr>
          <w:lang w:val="en-GB"/>
        </w:rPr>
        <w:t xml:space="preserve">1997 as published in </w:t>
      </w:r>
      <w:proofErr w:type="spellStart"/>
      <w:r>
        <w:rPr>
          <w:i/>
          <w:iCs/>
          <w:lang w:val="en-GB"/>
        </w:rPr>
        <w:t>Dziennik</w:t>
      </w:r>
      <w:proofErr w:type="spellEnd"/>
      <w:r>
        <w:rPr>
          <w:i/>
          <w:iCs/>
          <w:lang w:val="en-GB"/>
        </w:rPr>
        <w:t xml:space="preserve"> </w:t>
      </w:r>
      <w:proofErr w:type="spellStart"/>
      <w:r>
        <w:rPr>
          <w:i/>
          <w:iCs/>
          <w:lang w:val="en-GB"/>
        </w:rPr>
        <w:t>Ustaw</w:t>
      </w:r>
      <w:proofErr w:type="spellEnd"/>
      <w:r>
        <w:rPr>
          <w:lang w:val="en-GB"/>
        </w:rPr>
        <w:t xml:space="preserve"> No. 78, item 483</w:t>
      </w:r>
      <w:r w:rsidR="00B81661">
        <w:rPr>
          <w:lang w:val="en-GB"/>
        </w:rPr>
        <w:t>, Articles 188 to 197</w:t>
      </w:r>
      <w:r>
        <w:rPr>
          <w:lang w:val="en-GB"/>
        </w:rPr>
        <w:t>.</w:t>
      </w:r>
    </w:p>
  </w:footnote>
  <w:footnote w:id="2">
    <w:p w14:paraId="4563921C" w14:textId="352D8087" w:rsidR="00516603" w:rsidRPr="00516603" w:rsidRDefault="00516603">
      <w:pPr>
        <w:pStyle w:val="Tekstprzypisudolnego"/>
        <w:rPr>
          <w:lang w:val="en-GB"/>
        </w:rPr>
      </w:pPr>
      <w:r>
        <w:rPr>
          <w:rStyle w:val="Odwoanieprzypisudolnego"/>
        </w:rPr>
        <w:footnoteRef/>
      </w:r>
      <w:r w:rsidR="003305F6">
        <w:rPr>
          <w:lang w:val="en-GB"/>
        </w:rPr>
        <w:t> </w:t>
      </w:r>
      <w:r>
        <w:rPr>
          <w:lang w:val="en-GB"/>
        </w:rPr>
        <w:t>The Constitution …, Article 190(1).</w:t>
      </w:r>
    </w:p>
  </w:footnote>
  <w:footnote w:id="3">
    <w:p w14:paraId="48B4F5A9" w14:textId="72C37BA0" w:rsidR="00C338A5" w:rsidRPr="00445201" w:rsidRDefault="00C338A5" w:rsidP="00C338A5">
      <w:pPr>
        <w:pStyle w:val="Tekstprzypisudolnego"/>
        <w:rPr>
          <w:lang w:val="en-GB"/>
        </w:rPr>
      </w:pPr>
      <w:r>
        <w:rPr>
          <w:rStyle w:val="Odwoanieprzypisudolnego"/>
        </w:rPr>
        <w:footnoteRef/>
      </w:r>
      <w:r w:rsidR="003305F6">
        <w:rPr>
          <w:lang w:val="en-GB"/>
        </w:rPr>
        <w:t> </w:t>
      </w:r>
      <w:r w:rsidRPr="00445201">
        <w:rPr>
          <w:lang w:val="en-GB"/>
        </w:rPr>
        <w:t>T.</w:t>
      </w:r>
      <w:r>
        <w:rPr>
          <w:lang w:val="en-GB"/>
        </w:rPr>
        <w:t xml:space="preserve"> </w:t>
      </w:r>
      <w:proofErr w:type="spellStart"/>
      <w:r>
        <w:rPr>
          <w:lang w:val="en-GB"/>
        </w:rPr>
        <w:t>Woś</w:t>
      </w:r>
      <w:proofErr w:type="spellEnd"/>
      <w:r w:rsidRPr="00445201">
        <w:rPr>
          <w:lang w:val="en-GB"/>
        </w:rPr>
        <w:t xml:space="preserve">, </w:t>
      </w:r>
      <w:r w:rsidRPr="00181BE3">
        <w:rPr>
          <w:i/>
          <w:iCs/>
          <w:lang w:val="en-GB"/>
        </w:rPr>
        <w:t>Interpretative and Limited Judgments in the Jurisprudence of the Constitutional Tribunal</w:t>
      </w:r>
      <w:r>
        <w:rPr>
          <w:lang w:val="en-GB"/>
        </w:rPr>
        <w:t xml:space="preserve">, Studia </w:t>
      </w:r>
      <w:proofErr w:type="spellStart"/>
      <w:r>
        <w:rPr>
          <w:lang w:val="en-GB"/>
        </w:rPr>
        <w:t>Iuridica</w:t>
      </w:r>
      <w:proofErr w:type="spellEnd"/>
      <w:r>
        <w:rPr>
          <w:lang w:val="en-GB"/>
        </w:rPr>
        <w:t xml:space="preserve"> </w:t>
      </w:r>
      <w:proofErr w:type="spellStart"/>
      <w:r>
        <w:rPr>
          <w:lang w:val="en-GB"/>
        </w:rPr>
        <w:t>Lulinensia</w:t>
      </w:r>
      <w:proofErr w:type="spellEnd"/>
      <w:r>
        <w:rPr>
          <w:lang w:val="en-GB"/>
        </w:rPr>
        <w:t>, vol. XXV, 3, 2016, p. 986.</w:t>
      </w:r>
      <w:r w:rsidRPr="00445201">
        <w:rPr>
          <w:lang w:val="en-GB"/>
        </w:rPr>
        <w:t xml:space="preserve"> </w:t>
      </w:r>
    </w:p>
  </w:footnote>
  <w:footnote w:id="4">
    <w:p w14:paraId="489D4387" w14:textId="7B01A1B5" w:rsidR="00445201" w:rsidRPr="00445201" w:rsidRDefault="00445201">
      <w:pPr>
        <w:pStyle w:val="Tekstprzypisudolnego"/>
        <w:rPr>
          <w:lang w:val="en-GB"/>
        </w:rPr>
      </w:pPr>
      <w:r>
        <w:rPr>
          <w:rStyle w:val="Odwoanieprzypisudolnego"/>
        </w:rPr>
        <w:footnoteRef/>
      </w:r>
      <w:r w:rsidR="003305F6">
        <w:rPr>
          <w:lang w:val="en-GB"/>
        </w:rPr>
        <w:t> </w:t>
      </w:r>
      <w:r w:rsidRPr="00445201">
        <w:rPr>
          <w:lang w:val="en-GB"/>
        </w:rPr>
        <w:t>T.</w:t>
      </w:r>
      <w:r w:rsidR="00066737">
        <w:rPr>
          <w:lang w:val="en-GB"/>
        </w:rPr>
        <w:t xml:space="preserve"> </w:t>
      </w:r>
      <w:proofErr w:type="spellStart"/>
      <w:r w:rsidR="00066737">
        <w:rPr>
          <w:lang w:val="en-GB"/>
        </w:rPr>
        <w:t>Woś</w:t>
      </w:r>
      <w:proofErr w:type="spellEnd"/>
      <w:r w:rsidRPr="00445201">
        <w:rPr>
          <w:lang w:val="en-GB"/>
        </w:rPr>
        <w:t xml:space="preserve">, </w:t>
      </w:r>
      <w:r w:rsidRPr="00181BE3">
        <w:rPr>
          <w:i/>
          <w:iCs/>
          <w:lang w:val="en-GB"/>
        </w:rPr>
        <w:t>Interpretative</w:t>
      </w:r>
      <w:r w:rsidR="00C338A5">
        <w:rPr>
          <w:lang w:val="en-GB"/>
        </w:rPr>
        <w:t>…</w:t>
      </w:r>
      <w:r>
        <w:rPr>
          <w:lang w:val="en-GB"/>
        </w:rPr>
        <w:t>,</w:t>
      </w:r>
      <w:r w:rsidR="00900BCD">
        <w:rPr>
          <w:lang w:val="en-GB"/>
        </w:rPr>
        <w:t xml:space="preserve"> p. 98</w:t>
      </w:r>
      <w:r w:rsidR="00877C4B">
        <w:rPr>
          <w:lang w:val="en-GB"/>
        </w:rPr>
        <w:t>6</w:t>
      </w:r>
      <w:r>
        <w:rPr>
          <w:lang w:val="en-GB"/>
        </w:rPr>
        <w:t>.</w:t>
      </w:r>
      <w:r w:rsidRPr="00445201">
        <w:rPr>
          <w:lang w:val="en-GB"/>
        </w:rPr>
        <w:t xml:space="preserve"> </w:t>
      </w:r>
    </w:p>
  </w:footnote>
  <w:footnote w:id="5">
    <w:p w14:paraId="6F1A618D" w14:textId="50A38ECA" w:rsidR="00FE4B8C" w:rsidRPr="00FE4B8C" w:rsidRDefault="00FE4B8C">
      <w:pPr>
        <w:pStyle w:val="Tekstprzypisudolnego"/>
        <w:rPr>
          <w:lang w:val="en-GB"/>
        </w:rPr>
      </w:pPr>
      <w:r>
        <w:rPr>
          <w:rStyle w:val="Odwoanieprzypisudolnego"/>
        </w:rPr>
        <w:footnoteRef/>
      </w:r>
      <w:r w:rsidR="003305F6">
        <w:rPr>
          <w:lang w:val="en-GB"/>
        </w:rPr>
        <w:t> </w:t>
      </w:r>
      <w:r w:rsidR="00A364D6">
        <w:rPr>
          <w:lang w:val="en-GB"/>
        </w:rPr>
        <w:t>T</w:t>
      </w:r>
      <w:r>
        <w:rPr>
          <w:lang w:val="en-GB"/>
        </w:rPr>
        <w:t>.</w:t>
      </w:r>
      <w:bookmarkStart w:id="0" w:name="_Hlk159545676"/>
      <w:r w:rsidR="00066737">
        <w:rPr>
          <w:lang w:val="en-GB"/>
        </w:rPr>
        <w:t xml:space="preserve"> </w:t>
      </w:r>
      <w:proofErr w:type="spellStart"/>
      <w:r w:rsidR="00066737">
        <w:rPr>
          <w:lang w:val="en-GB"/>
        </w:rPr>
        <w:t>Woś</w:t>
      </w:r>
      <w:proofErr w:type="spellEnd"/>
      <w:r>
        <w:rPr>
          <w:lang w:val="en-GB"/>
        </w:rPr>
        <w:t xml:space="preserve">, </w:t>
      </w:r>
      <w:r w:rsidRPr="00181BE3">
        <w:rPr>
          <w:i/>
          <w:iCs/>
          <w:lang w:val="en-GB"/>
        </w:rPr>
        <w:t>Interpretative</w:t>
      </w:r>
      <w:r>
        <w:rPr>
          <w:lang w:val="en-GB"/>
        </w:rPr>
        <w:t xml:space="preserve">…, p. 987. </w:t>
      </w:r>
      <w:bookmarkEnd w:id="0"/>
    </w:p>
  </w:footnote>
  <w:footnote w:id="6">
    <w:p w14:paraId="439DB160" w14:textId="19C2B60C" w:rsidR="009A090D" w:rsidRPr="009A090D" w:rsidRDefault="009A090D">
      <w:pPr>
        <w:pStyle w:val="Tekstprzypisudolnego"/>
        <w:rPr>
          <w:lang w:val="en-GB"/>
        </w:rPr>
      </w:pPr>
      <w:r>
        <w:rPr>
          <w:rStyle w:val="Odwoanieprzypisudolnego"/>
        </w:rPr>
        <w:footnoteRef/>
      </w:r>
      <w:r w:rsidR="003305F6">
        <w:rPr>
          <w:lang w:val="en-GB"/>
        </w:rPr>
        <w:t> </w:t>
      </w:r>
      <w:r w:rsidR="00066737">
        <w:rPr>
          <w:lang w:val="en-GB"/>
        </w:rPr>
        <w:t xml:space="preserve">T. </w:t>
      </w:r>
      <w:proofErr w:type="spellStart"/>
      <w:r w:rsidR="00066737">
        <w:rPr>
          <w:lang w:val="en-GB"/>
        </w:rPr>
        <w:t>Woś</w:t>
      </w:r>
      <w:proofErr w:type="spellEnd"/>
      <w:r>
        <w:rPr>
          <w:lang w:val="en-GB"/>
        </w:rPr>
        <w:t xml:space="preserve">, </w:t>
      </w:r>
      <w:r w:rsidRPr="00181BE3">
        <w:rPr>
          <w:i/>
          <w:iCs/>
          <w:lang w:val="en-GB"/>
        </w:rPr>
        <w:t>Interpretative</w:t>
      </w:r>
      <w:r>
        <w:rPr>
          <w:lang w:val="en-GB"/>
        </w:rPr>
        <w:t>…, p. 990.</w:t>
      </w:r>
    </w:p>
  </w:footnote>
  <w:footnote w:id="7">
    <w:p w14:paraId="749BE8F6" w14:textId="17C5BEE2" w:rsidR="009A090D" w:rsidRPr="009A090D" w:rsidRDefault="009A090D" w:rsidP="009A090D">
      <w:pPr>
        <w:pStyle w:val="Tekstprzypisudolnego"/>
        <w:rPr>
          <w:lang w:val="en-GB"/>
        </w:rPr>
      </w:pPr>
      <w:r>
        <w:rPr>
          <w:rStyle w:val="Odwoanieprzypisudolnego"/>
        </w:rPr>
        <w:footnoteRef/>
      </w:r>
      <w:r w:rsidR="003305F6">
        <w:rPr>
          <w:lang w:val="en-GB"/>
        </w:rPr>
        <w:t> </w:t>
      </w:r>
      <w:r w:rsidR="00066737">
        <w:rPr>
          <w:lang w:val="en-GB"/>
        </w:rPr>
        <w:t xml:space="preserve">T. </w:t>
      </w:r>
      <w:proofErr w:type="spellStart"/>
      <w:r w:rsidR="00066737">
        <w:rPr>
          <w:lang w:val="en-GB"/>
        </w:rPr>
        <w:t>Woś</w:t>
      </w:r>
      <w:proofErr w:type="spellEnd"/>
      <w:r>
        <w:rPr>
          <w:lang w:val="en-GB"/>
        </w:rPr>
        <w:t xml:space="preserve">, </w:t>
      </w:r>
      <w:r w:rsidRPr="00181BE3">
        <w:rPr>
          <w:i/>
          <w:iCs/>
          <w:lang w:val="en-GB"/>
        </w:rPr>
        <w:t>Interpretative</w:t>
      </w:r>
      <w:r>
        <w:rPr>
          <w:lang w:val="en-GB"/>
        </w:rPr>
        <w:t>…, p. 990.</w:t>
      </w:r>
    </w:p>
  </w:footnote>
  <w:footnote w:id="8">
    <w:p w14:paraId="45A2D716" w14:textId="35B045E4" w:rsidR="00EF0EDB" w:rsidRPr="00181BE3" w:rsidRDefault="00EF0EDB">
      <w:pPr>
        <w:pStyle w:val="Tekstprzypisudolnego"/>
      </w:pPr>
      <w:r>
        <w:rPr>
          <w:rStyle w:val="Odwoanieprzypisudolnego"/>
        </w:rPr>
        <w:footnoteRef/>
      </w:r>
      <w:r w:rsidR="003305F6" w:rsidRPr="00181BE3">
        <w:t> </w:t>
      </w:r>
      <w:r w:rsidRPr="00181BE3">
        <w:t xml:space="preserve">T. Pietryga, </w:t>
      </w:r>
      <w:r w:rsidRPr="00181BE3">
        <w:rPr>
          <w:i/>
          <w:iCs/>
        </w:rPr>
        <w:t>Jak to było z “sędziami dublerami” w Trybunale Konstytucyjnym</w:t>
      </w:r>
      <w:r w:rsidR="00EE50C7" w:rsidRPr="00181BE3">
        <w:t>, in: Rzeczpospolita, 2023, &lt;</w:t>
      </w:r>
      <w:r w:rsidR="00523A3E" w:rsidRPr="00181BE3">
        <w:t> </w:t>
      </w:r>
      <w:hyperlink r:id="rId1" w:history="1">
        <w:r w:rsidR="00EE50C7" w:rsidRPr="00181BE3">
          <w:rPr>
            <w:rStyle w:val="Hipercze"/>
          </w:rPr>
          <w:t>https://www.rp.pl/sady-i-trybunaly/</w:t>
        </w:r>
        <w:r w:rsidR="00A77879" w:rsidRPr="00181BE3">
          <w:rPr>
            <w:rStyle w:val="Hipercze"/>
          </w:rPr>
          <w:br/>
        </w:r>
        <w:r w:rsidR="00EE50C7" w:rsidRPr="00181BE3">
          <w:rPr>
            <w:rStyle w:val="Hipercze"/>
          </w:rPr>
          <w:t>art39394591-jak-to-bylo-z-sedziami-dublerami-w-trybunale-konstytucyjnym</w:t>
        </w:r>
      </w:hyperlink>
      <w:r w:rsidR="00523A3E" w:rsidRPr="00181BE3">
        <w:t> </w:t>
      </w:r>
      <w:r w:rsidR="00EE50C7" w:rsidRPr="00181BE3">
        <w:t>&gt;, [</w:t>
      </w:r>
      <w:proofErr w:type="spellStart"/>
      <w:r w:rsidR="00EE50C7" w:rsidRPr="00181BE3">
        <w:t>accessed</w:t>
      </w:r>
      <w:proofErr w:type="spellEnd"/>
      <w:r w:rsidR="00EE50C7" w:rsidRPr="00181BE3">
        <w:t xml:space="preserve">: </w:t>
      </w:r>
      <w:proofErr w:type="spellStart"/>
      <w:r w:rsidR="00EE50C7" w:rsidRPr="00181BE3">
        <w:t>February</w:t>
      </w:r>
      <w:proofErr w:type="spellEnd"/>
      <w:r w:rsidR="00EE50C7" w:rsidRPr="00181BE3">
        <w:t xml:space="preserve"> 23, 2023].</w:t>
      </w:r>
      <w:r w:rsidRPr="00181BE3">
        <w:t xml:space="preserve"> </w:t>
      </w:r>
    </w:p>
  </w:footnote>
  <w:footnote w:id="9">
    <w:p w14:paraId="5D12E8E2" w14:textId="3933096D" w:rsidR="00DC7F78" w:rsidRPr="00DC7F78" w:rsidRDefault="00DC7F78">
      <w:pPr>
        <w:pStyle w:val="Tekstprzypisudolnego"/>
        <w:rPr>
          <w:lang w:val="en-GB"/>
        </w:rPr>
      </w:pPr>
      <w:r>
        <w:rPr>
          <w:rStyle w:val="Odwoanieprzypisudolnego"/>
        </w:rPr>
        <w:footnoteRef/>
      </w:r>
      <w:r w:rsidR="003305F6">
        <w:rPr>
          <w:lang w:val="en-GB"/>
        </w:rPr>
        <w:t> </w:t>
      </w:r>
      <w:r>
        <w:rPr>
          <w:lang w:val="en-GB"/>
        </w:rPr>
        <w:t xml:space="preserve">Order of the Supreme Court (7 judges) of </w:t>
      </w:r>
      <w:r w:rsidR="003A4430">
        <w:rPr>
          <w:lang w:val="en-GB"/>
        </w:rPr>
        <w:t xml:space="preserve">13 </w:t>
      </w:r>
      <w:r>
        <w:rPr>
          <w:lang w:val="en-GB"/>
        </w:rPr>
        <w:t>December 2023, I KZP 5/23.</w:t>
      </w:r>
    </w:p>
  </w:footnote>
  <w:footnote w:id="10">
    <w:p w14:paraId="0CC9C564" w14:textId="77ECBB8E" w:rsidR="00B33297" w:rsidRPr="00B33297" w:rsidRDefault="00B33297" w:rsidP="00B33297">
      <w:pPr>
        <w:pStyle w:val="Tekstprzypisudolnego"/>
        <w:rPr>
          <w:lang w:val="en-GB"/>
        </w:rPr>
      </w:pPr>
      <w:r>
        <w:rPr>
          <w:rStyle w:val="Odwoanieprzypisudolnego"/>
        </w:rPr>
        <w:footnoteRef/>
      </w:r>
      <w:r w:rsidR="003305F6">
        <w:rPr>
          <w:lang w:val="en-GB"/>
        </w:rPr>
        <w:t> </w:t>
      </w:r>
      <w:r>
        <w:rPr>
          <w:lang w:val="en-GB"/>
        </w:rPr>
        <w:t xml:space="preserve">M. Matczak, </w:t>
      </w:r>
      <w:r w:rsidRPr="00181BE3">
        <w:rPr>
          <w:i/>
          <w:iCs/>
          <w:lang w:val="en-GB"/>
        </w:rPr>
        <w:t>Poland’s Constitutional Crisis: Facts and interpretations</w:t>
      </w:r>
      <w:r>
        <w:rPr>
          <w:lang w:val="en-GB"/>
        </w:rPr>
        <w:t xml:space="preserve">, </w:t>
      </w:r>
      <w:r w:rsidRPr="00B33297">
        <w:rPr>
          <w:lang w:val="en-GB"/>
        </w:rPr>
        <w:t>The Foundation for Law, Justice and Society</w:t>
      </w:r>
      <w:r>
        <w:rPr>
          <w:lang w:val="en-GB"/>
        </w:rPr>
        <w:t>,</w:t>
      </w:r>
      <w:r w:rsidRPr="00B33297">
        <w:rPr>
          <w:lang w:val="en-GB"/>
        </w:rPr>
        <w:t xml:space="preserve"> 2018</w:t>
      </w:r>
      <w:r>
        <w:rPr>
          <w:lang w:val="en-GB"/>
        </w:rPr>
        <w:t>, &lt; </w:t>
      </w:r>
      <w:hyperlink r:id="rId2" w:history="1">
        <w:r w:rsidRPr="00B33297">
          <w:rPr>
            <w:rStyle w:val="Hipercze"/>
            <w:lang w:val="en-GB"/>
          </w:rPr>
          <w:t>https://monitorkonstytucyjny.eu/wp-content/uploads/2018/07/Matczak_Polands-Constitutional-Crisis-Facts-and-interpretations_0.pdf</w:t>
        </w:r>
      </w:hyperlink>
      <w:r w:rsidR="00527334">
        <w:rPr>
          <w:lang w:val="en-GB"/>
        </w:rPr>
        <w:t> </w:t>
      </w:r>
      <w:r>
        <w:rPr>
          <w:lang w:val="en-GB"/>
        </w:rPr>
        <w:t>&gt;, [accessed: February 23, 2023]</w:t>
      </w:r>
      <w:r w:rsidR="00074C6F">
        <w:rPr>
          <w:lang w:val="en-GB"/>
        </w:rPr>
        <w:t>.</w:t>
      </w:r>
      <w:r w:rsidR="009210C7">
        <w:rPr>
          <w:lang w:val="en-GB"/>
        </w:rPr>
        <w:t xml:space="preserve"> See also T.T. </w:t>
      </w:r>
      <w:proofErr w:type="spellStart"/>
      <w:r w:rsidR="009210C7">
        <w:rPr>
          <w:lang w:val="en-GB"/>
        </w:rPr>
        <w:t>Koncewicz</w:t>
      </w:r>
      <w:proofErr w:type="spellEnd"/>
      <w:r w:rsidR="009210C7">
        <w:rPr>
          <w:lang w:val="en-GB"/>
        </w:rPr>
        <w:t xml:space="preserve">, </w:t>
      </w:r>
      <w:r w:rsidR="009210C7" w:rsidRPr="00181BE3">
        <w:rPr>
          <w:i/>
          <w:iCs/>
          <w:lang w:val="en-GB"/>
        </w:rPr>
        <w:t>From Constitutional to Political Justice: The Tragic Trajectories of the Polish Constitutional Court</w:t>
      </w:r>
      <w:r w:rsidR="009210C7">
        <w:rPr>
          <w:lang w:val="en-GB"/>
        </w:rPr>
        <w:t>, 2019, &lt; </w:t>
      </w:r>
      <w:hyperlink r:id="rId3" w:history="1">
        <w:r w:rsidR="009210C7" w:rsidRPr="009210C7">
          <w:rPr>
            <w:rStyle w:val="Hipercze"/>
            <w:lang w:val="en-GB"/>
          </w:rPr>
          <w:t>https://reconnect-europe.eu/blog/koncewicz-polish-constitutional-court/</w:t>
        </w:r>
      </w:hyperlink>
      <w:r w:rsidR="009210C7">
        <w:rPr>
          <w:lang w:val="en-GB"/>
        </w:rPr>
        <w:t xml:space="preserve"> &gt;, [accessed: February 23, 2023].</w:t>
      </w:r>
    </w:p>
  </w:footnote>
  <w:footnote w:id="11">
    <w:p w14:paraId="05D5B726" w14:textId="767CD77C" w:rsidR="00AB5AB2" w:rsidRPr="00AA7E1D" w:rsidRDefault="00AB5AB2" w:rsidP="00AB5AB2">
      <w:pPr>
        <w:pStyle w:val="Tekstprzypisudolnego"/>
        <w:rPr>
          <w:lang w:val="en-GB"/>
        </w:rPr>
      </w:pPr>
      <w:r>
        <w:rPr>
          <w:rStyle w:val="Odwoanieprzypisudolnego"/>
        </w:rPr>
        <w:footnoteRef/>
      </w:r>
      <w:r w:rsidR="003305F6">
        <w:rPr>
          <w:lang w:val="en-GB"/>
        </w:rPr>
        <w:t> </w:t>
      </w:r>
      <w:r>
        <w:rPr>
          <w:lang w:val="en-GB"/>
        </w:rPr>
        <w:t xml:space="preserve">See, e.g. Judgment of the Constitutional Tribunal of </w:t>
      </w:r>
      <w:r w:rsidR="003A4430">
        <w:rPr>
          <w:lang w:val="en-GB"/>
        </w:rPr>
        <w:t xml:space="preserve">26 </w:t>
      </w:r>
      <w:r>
        <w:rPr>
          <w:lang w:val="en-GB"/>
        </w:rPr>
        <w:t>June 2013, K 33/12, in which it was explicitly argued that “the Constitutional Tribunal is not authorized to rule on the validity of European Union law” or Judgment of the Constitutional Tribunal of 19</w:t>
      </w:r>
      <w:r w:rsidR="003A4430" w:rsidRPr="003A4430">
        <w:rPr>
          <w:lang w:val="en-GB"/>
        </w:rPr>
        <w:t xml:space="preserve"> </w:t>
      </w:r>
      <w:r w:rsidR="003A4430">
        <w:rPr>
          <w:lang w:val="en-GB"/>
        </w:rPr>
        <w:t>December</w:t>
      </w:r>
      <w:r>
        <w:rPr>
          <w:lang w:val="en-GB"/>
        </w:rPr>
        <w:t xml:space="preserve"> 2006</w:t>
      </w:r>
      <w:r w:rsidR="003A4430">
        <w:rPr>
          <w:lang w:val="en-GB"/>
        </w:rPr>
        <w:t>,</w:t>
      </w:r>
      <w:r>
        <w:rPr>
          <w:lang w:val="en-GB"/>
        </w:rPr>
        <w:t xml:space="preserve"> P 37/05, where the Tribunal stipulated that “in case of doubts about the relation of a national legal norm and a community legal norm it is necessary to request a preliminary ruling from the Court of Justice.”</w:t>
      </w:r>
    </w:p>
  </w:footnote>
  <w:footnote w:id="12">
    <w:p w14:paraId="2034A5E2" w14:textId="4081A39A" w:rsidR="00DA1693" w:rsidRPr="00DA1693" w:rsidRDefault="00DA1693">
      <w:pPr>
        <w:pStyle w:val="Tekstprzypisudolnego"/>
        <w:rPr>
          <w:lang w:val="en-GB"/>
        </w:rPr>
      </w:pPr>
      <w:r>
        <w:rPr>
          <w:rStyle w:val="Odwoanieprzypisudolnego"/>
        </w:rPr>
        <w:footnoteRef/>
      </w:r>
      <w:r w:rsidR="003305F6">
        <w:rPr>
          <w:lang w:val="en-GB"/>
        </w:rPr>
        <w:t> </w:t>
      </w:r>
      <w:r>
        <w:rPr>
          <w:lang w:val="en-GB"/>
        </w:rPr>
        <w:t>Act on the Supreme Court</w:t>
      </w:r>
      <w:r w:rsidR="00AF6AF9">
        <w:rPr>
          <w:lang w:val="en-GB"/>
        </w:rPr>
        <w:t xml:space="preserve"> of </w:t>
      </w:r>
      <w:r w:rsidR="003A4430">
        <w:rPr>
          <w:lang w:val="en-GB"/>
        </w:rPr>
        <w:t xml:space="preserve">8 </w:t>
      </w:r>
      <w:r w:rsidR="00AF6AF9">
        <w:rPr>
          <w:lang w:val="en-GB"/>
        </w:rPr>
        <w:t>December 2017</w:t>
      </w:r>
      <w:r>
        <w:rPr>
          <w:lang w:val="en-GB"/>
        </w:rPr>
        <w:t xml:space="preserve"> as published in </w:t>
      </w:r>
      <w:proofErr w:type="spellStart"/>
      <w:r>
        <w:rPr>
          <w:i/>
          <w:iCs/>
          <w:lang w:val="en-GB"/>
        </w:rPr>
        <w:t>Dziennik</w:t>
      </w:r>
      <w:proofErr w:type="spellEnd"/>
      <w:r>
        <w:rPr>
          <w:i/>
          <w:iCs/>
          <w:lang w:val="en-GB"/>
        </w:rPr>
        <w:t xml:space="preserve"> </w:t>
      </w:r>
      <w:proofErr w:type="spellStart"/>
      <w:r>
        <w:rPr>
          <w:i/>
          <w:iCs/>
          <w:lang w:val="en-GB"/>
        </w:rPr>
        <w:t>Ustaw</w:t>
      </w:r>
      <w:proofErr w:type="spellEnd"/>
      <w:r>
        <w:rPr>
          <w:lang w:val="en-GB"/>
        </w:rPr>
        <w:t>, year 2018, item 5.</w:t>
      </w:r>
    </w:p>
  </w:footnote>
  <w:footnote w:id="13">
    <w:p w14:paraId="4528CF67" w14:textId="4466661D" w:rsidR="0094243C" w:rsidRPr="0094243C" w:rsidRDefault="0094243C">
      <w:pPr>
        <w:pStyle w:val="Tekstprzypisudolnego"/>
        <w:rPr>
          <w:lang w:val="en-GB"/>
        </w:rPr>
      </w:pPr>
      <w:r>
        <w:rPr>
          <w:rStyle w:val="Odwoanieprzypisudolnego"/>
        </w:rPr>
        <w:footnoteRef/>
      </w:r>
      <w:r w:rsidR="003305F6">
        <w:rPr>
          <w:lang w:val="en-GB"/>
        </w:rPr>
        <w:t> </w:t>
      </w:r>
      <w:r>
        <w:rPr>
          <w:lang w:val="en-GB"/>
        </w:rPr>
        <w:t xml:space="preserve">See: Order of the Supreme Court of </w:t>
      </w:r>
      <w:r w:rsidR="003A4430">
        <w:rPr>
          <w:lang w:val="en-GB"/>
        </w:rPr>
        <w:t xml:space="preserve">30 </w:t>
      </w:r>
      <w:r>
        <w:rPr>
          <w:lang w:val="en-GB"/>
        </w:rPr>
        <w:t>August 2018, III PO 7/18</w:t>
      </w:r>
      <w:r w:rsidR="006F4DAA">
        <w:rPr>
          <w:lang w:val="en-GB"/>
        </w:rPr>
        <w:t xml:space="preserve">, requesting a preliminary ruling from the Court of Justice of the </w:t>
      </w:r>
      <w:r w:rsidR="00433C21">
        <w:rPr>
          <w:lang w:val="en-GB"/>
        </w:rPr>
        <w:t>EU</w:t>
      </w:r>
      <w:r w:rsidR="006F4DAA">
        <w:rPr>
          <w:lang w:val="en-GB"/>
        </w:rPr>
        <w:t xml:space="preserve"> on whether the Disciplinary Chamber is an independent</w:t>
      </w:r>
      <w:r w:rsidR="00DA4773">
        <w:rPr>
          <w:lang w:val="en-GB"/>
        </w:rPr>
        <w:t xml:space="preserve"> and impartial</w:t>
      </w:r>
      <w:r w:rsidR="006F4DAA">
        <w:rPr>
          <w:lang w:val="en-GB"/>
        </w:rPr>
        <w:t xml:space="preserve"> court.</w:t>
      </w:r>
    </w:p>
  </w:footnote>
  <w:footnote w:id="14">
    <w:p w14:paraId="765D5F5B" w14:textId="1FC3F4BD" w:rsidR="002E50B0" w:rsidRPr="002E50B0" w:rsidRDefault="002E50B0">
      <w:pPr>
        <w:pStyle w:val="Tekstprzypisudolnego"/>
        <w:rPr>
          <w:vertAlign w:val="subscript"/>
          <w:lang w:val="en-GB"/>
        </w:rPr>
      </w:pPr>
      <w:r>
        <w:rPr>
          <w:rStyle w:val="Odwoanieprzypisudolnego"/>
        </w:rPr>
        <w:footnoteRef/>
      </w:r>
      <w:r w:rsidR="003305F6">
        <w:rPr>
          <w:lang w:val="en-GB"/>
        </w:rPr>
        <w:t> </w:t>
      </w:r>
      <w:r>
        <w:rPr>
          <w:lang w:val="en-GB"/>
        </w:rPr>
        <w:t xml:space="preserve">Judgment of the CJEU of </w:t>
      </w:r>
      <w:r w:rsidR="0003590D">
        <w:rPr>
          <w:lang w:val="en-GB"/>
        </w:rPr>
        <w:t xml:space="preserve">19 </w:t>
      </w:r>
      <w:r>
        <w:rPr>
          <w:lang w:val="en-GB"/>
        </w:rPr>
        <w:t>November</w:t>
      </w:r>
      <w:r w:rsidR="0003590D">
        <w:rPr>
          <w:lang w:val="en-GB"/>
        </w:rPr>
        <w:t xml:space="preserve"> </w:t>
      </w:r>
      <w:r>
        <w:rPr>
          <w:lang w:val="en-GB"/>
        </w:rPr>
        <w:t>2019,</w:t>
      </w:r>
      <w:r w:rsidR="00545DBD">
        <w:rPr>
          <w:lang w:val="en-GB"/>
        </w:rPr>
        <w:t xml:space="preserve"> </w:t>
      </w:r>
      <w:r w:rsidR="00545DBD" w:rsidRPr="00181BE3">
        <w:rPr>
          <w:i/>
          <w:iCs/>
          <w:lang w:val="en-GB"/>
        </w:rPr>
        <w:t xml:space="preserve">A.K. and </w:t>
      </w:r>
      <w:r w:rsidR="000F7A80" w:rsidRPr="00181BE3">
        <w:rPr>
          <w:i/>
          <w:iCs/>
          <w:lang w:val="en-GB"/>
        </w:rPr>
        <w:t>O</w:t>
      </w:r>
      <w:r w:rsidR="00545DBD" w:rsidRPr="00181BE3">
        <w:rPr>
          <w:i/>
          <w:iCs/>
          <w:lang w:val="en-GB"/>
        </w:rPr>
        <w:t>thers</w:t>
      </w:r>
      <w:r w:rsidR="00545DBD">
        <w:rPr>
          <w:lang w:val="en-GB"/>
        </w:rPr>
        <w:t>,</w:t>
      </w:r>
      <w:r>
        <w:rPr>
          <w:lang w:val="en-GB"/>
        </w:rPr>
        <w:t xml:space="preserve"> C-585/18, C-624/18 and C-625/18.</w:t>
      </w:r>
    </w:p>
  </w:footnote>
  <w:footnote w:id="15">
    <w:p w14:paraId="501D9054" w14:textId="3B00AE2D" w:rsidR="00BF3F0A" w:rsidRPr="00BF3F0A" w:rsidRDefault="00BF3F0A">
      <w:pPr>
        <w:pStyle w:val="Tekstprzypisudolnego"/>
        <w:rPr>
          <w:lang w:val="en-GB"/>
        </w:rPr>
      </w:pPr>
      <w:r>
        <w:rPr>
          <w:rStyle w:val="Odwoanieprzypisudolnego"/>
        </w:rPr>
        <w:footnoteRef/>
      </w:r>
      <w:r w:rsidR="00F649E3" w:rsidRPr="00F649E3">
        <w:rPr>
          <w:lang w:val="en-GB"/>
        </w:rPr>
        <w:t> </w:t>
      </w:r>
      <w:r>
        <w:rPr>
          <w:lang w:val="en-GB"/>
        </w:rPr>
        <w:t xml:space="preserve">Order of the </w:t>
      </w:r>
      <w:r w:rsidR="00CA49F8">
        <w:rPr>
          <w:lang w:val="en-GB"/>
        </w:rPr>
        <w:t>CJEU</w:t>
      </w:r>
      <w:r>
        <w:rPr>
          <w:lang w:val="en-GB"/>
        </w:rPr>
        <w:t xml:space="preserve"> of 8</w:t>
      </w:r>
      <w:r w:rsidR="0003590D" w:rsidRPr="0003590D">
        <w:rPr>
          <w:lang w:val="en-GB"/>
        </w:rPr>
        <w:t xml:space="preserve"> </w:t>
      </w:r>
      <w:r w:rsidR="0003590D">
        <w:rPr>
          <w:lang w:val="en-GB"/>
        </w:rPr>
        <w:t>April</w:t>
      </w:r>
      <w:r>
        <w:rPr>
          <w:lang w:val="en-GB"/>
        </w:rPr>
        <w:t xml:space="preserve"> 2020,</w:t>
      </w:r>
      <w:r w:rsidR="00DB4151">
        <w:rPr>
          <w:lang w:val="en-GB"/>
        </w:rPr>
        <w:t xml:space="preserve"> </w:t>
      </w:r>
      <w:r w:rsidR="00DB4151" w:rsidRPr="00181BE3">
        <w:rPr>
          <w:i/>
          <w:iCs/>
          <w:lang w:val="en-GB"/>
        </w:rPr>
        <w:t>European Commission v</w:t>
      </w:r>
      <w:r w:rsidRPr="00181BE3">
        <w:rPr>
          <w:i/>
          <w:iCs/>
          <w:lang w:val="en-GB"/>
        </w:rPr>
        <w:t xml:space="preserve"> </w:t>
      </w:r>
      <w:r w:rsidR="00DB4151" w:rsidRPr="00181BE3">
        <w:rPr>
          <w:i/>
          <w:iCs/>
          <w:lang w:val="en-GB"/>
        </w:rPr>
        <w:t>Republic of Poland</w:t>
      </w:r>
      <w:r w:rsidR="00DB4151">
        <w:rPr>
          <w:lang w:val="en-GB"/>
        </w:rPr>
        <w:t xml:space="preserve">, ref. </w:t>
      </w:r>
      <w:r>
        <w:rPr>
          <w:lang w:val="en-GB"/>
        </w:rPr>
        <w:t>C-791/19 R.</w:t>
      </w:r>
    </w:p>
  </w:footnote>
  <w:footnote w:id="16">
    <w:p w14:paraId="0EF0850E" w14:textId="53AED997" w:rsidR="00D06229" w:rsidRPr="00D06229" w:rsidRDefault="00D06229">
      <w:pPr>
        <w:pStyle w:val="Tekstprzypisudolnego"/>
        <w:rPr>
          <w:lang w:val="en-GB"/>
        </w:rPr>
      </w:pPr>
      <w:r>
        <w:rPr>
          <w:rStyle w:val="Odwoanieprzypisudolnego"/>
        </w:rPr>
        <w:footnoteRef/>
      </w:r>
      <w:r w:rsidR="00F649E3">
        <w:rPr>
          <w:lang w:val="en-GB"/>
        </w:rPr>
        <w:t> </w:t>
      </w:r>
      <w:r w:rsidRPr="00D06229">
        <w:rPr>
          <w:lang w:val="en-GB"/>
        </w:rPr>
        <w:t>Order of the Supreme Court</w:t>
      </w:r>
      <w:r w:rsidR="000F0549">
        <w:rPr>
          <w:lang w:val="en-GB"/>
        </w:rPr>
        <w:t xml:space="preserve"> </w:t>
      </w:r>
      <w:r w:rsidRPr="00D06229">
        <w:rPr>
          <w:lang w:val="en-GB"/>
        </w:rPr>
        <w:t>o</w:t>
      </w:r>
      <w:r>
        <w:rPr>
          <w:lang w:val="en-GB"/>
        </w:rPr>
        <w:t>f 9</w:t>
      </w:r>
      <w:r w:rsidR="00724F8B" w:rsidRPr="00724F8B">
        <w:rPr>
          <w:lang w:val="en-GB"/>
        </w:rPr>
        <w:t xml:space="preserve"> </w:t>
      </w:r>
      <w:r w:rsidR="00724F8B">
        <w:rPr>
          <w:lang w:val="en-GB"/>
        </w:rPr>
        <w:t>April</w:t>
      </w:r>
      <w:r>
        <w:rPr>
          <w:lang w:val="en-GB"/>
        </w:rPr>
        <w:t xml:space="preserve"> 2020, I DO 16/20</w:t>
      </w:r>
      <w:r w:rsidR="00C71A18">
        <w:rPr>
          <w:lang w:val="en-GB"/>
        </w:rPr>
        <w:t xml:space="preserve"> (</w:t>
      </w:r>
      <w:r w:rsidR="00FB5250">
        <w:rPr>
          <w:lang w:val="en-GB"/>
        </w:rPr>
        <w:t>internal citations omitted</w:t>
      </w:r>
      <w:r w:rsidR="00C71A18">
        <w:rPr>
          <w:lang w:val="en-GB"/>
        </w:rPr>
        <w:t>)</w:t>
      </w:r>
      <w:r w:rsidR="00FB5250">
        <w:rPr>
          <w:lang w:val="en-GB"/>
        </w:rPr>
        <w:t>.</w:t>
      </w:r>
    </w:p>
  </w:footnote>
  <w:footnote w:id="17">
    <w:p w14:paraId="1A2980CC" w14:textId="3EC63718" w:rsidR="00DB4151" w:rsidRPr="00DB4151" w:rsidRDefault="00DB4151">
      <w:pPr>
        <w:pStyle w:val="Tekstprzypisudolnego"/>
        <w:rPr>
          <w:lang w:val="en-GB"/>
        </w:rPr>
      </w:pPr>
      <w:r>
        <w:rPr>
          <w:rStyle w:val="Odwoanieprzypisudolnego"/>
        </w:rPr>
        <w:footnoteRef/>
      </w:r>
      <w:r w:rsidR="00F649E3">
        <w:rPr>
          <w:lang w:val="en-GB"/>
        </w:rPr>
        <w:t> </w:t>
      </w:r>
      <w:r w:rsidRPr="00DB4151">
        <w:rPr>
          <w:lang w:val="en-GB"/>
        </w:rPr>
        <w:t>Consolidated version of the Treaty on European Union</w:t>
      </w:r>
      <w:r>
        <w:rPr>
          <w:lang w:val="en-GB"/>
        </w:rPr>
        <w:t xml:space="preserve"> (2016), Official Journal of the European Union C 202/1.</w:t>
      </w:r>
    </w:p>
  </w:footnote>
  <w:footnote w:id="18">
    <w:p w14:paraId="7C59A0F7" w14:textId="0C017B95" w:rsidR="007C494A" w:rsidRPr="007C494A" w:rsidRDefault="007C494A">
      <w:pPr>
        <w:pStyle w:val="Tekstprzypisudolnego"/>
        <w:rPr>
          <w:lang w:val="en-GB"/>
        </w:rPr>
      </w:pPr>
      <w:r>
        <w:rPr>
          <w:rStyle w:val="Odwoanieprzypisudolnego"/>
        </w:rPr>
        <w:footnoteRef/>
      </w:r>
      <w:r w:rsidR="00F649E3">
        <w:rPr>
          <w:lang w:val="en-GB"/>
        </w:rPr>
        <w:t> </w:t>
      </w:r>
      <w:r w:rsidRPr="007C494A">
        <w:rPr>
          <w:lang w:val="en-GB"/>
        </w:rPr>
        <w:t>Consolidated version of the Treaty on the Functioning of the European Union</w:t>
      </w:r>
      <w:r>
        <w:rPr>
          <w:lang w:val="en-GB"/>
        </w:rPr>
        <w:t xml:space="preserve"> (</w:t>
      </w:r>
      <w:r w:rsidR="00D917D5">
        <w:rPr>
          <w:lang w:val="en-GB"/>
        </w:rPr>
        <w:t>2</w:t>
      </w:r>
      <w:r w:rsidR="005433C7">
        <w:rPr>
          <w:lang w:val="en-GB"/>
        </w:rPr>
        <w:t>016</w:t>
      </w:r>
      <w:r>
        <w:rPr>
          <w:lang w:val="en-GB"/>
        </w:rPr>
        <w:t>), Official Journal of the European Union C 202/1.</w:t>
      </w:r>
    </w:p>
  </w:footnote>
  <w:footnote w:id="19">
    <w:p w14:paraId="438ABA45" w14:textId="153A7BCA" w:rsidR="00F66F47" w:rsidRPr="00673C8C" w:rsidRDefault="00F66F47" w:rsidP="00F66F47">
      <w:pPr>
        <w:pStyle w:val="Tekstprzypisudolnego"/>
        <w:rPr>
          <w:lang w:val="en-GB"/>
        </w:rPr>
      </w:pPr>
      <w:r>
        <w:rPr>
          <w:rStyle w:val="Odwoanieprzypisudolnego"/>
        </w:rPr>
        <w:footnoteRef/>
      </w:r>
      <w:r w:rsidRPr="00673C8C">
        <w:rPr>
          <w:lang w:val="en-GB"/>
        </w:rPr>
        <w:t xml:space="preserve"> The Constitution</w:t>
      </w:r>
      <w:r w:rsidR="008C002F">
        <w:rPr>
          <w:lang w:val="en-GB"/>
        </w:rPr>
        <w:t>…</w:t>
      </w:r>
    </w:p>
  </w:footnote>
  <w:footnote w:id="20">
    <w:p w14:paraId="2E8F8FD4" w14:textId="791F5FE6" w:rsidR="00563EE4" w:rsidRPr="00563EE4" w:rsidRDefault="00563EE4">
      <w:pPr>
        <w:pStyle w:val="Tekstprzypisudolnego"/>
        <w:rPr>
          <w:lang w:val="en-GB"/>
        </w:rPr>
      </w:pPr>
      <w:r>
        <w:rPr>
          <w:rStyle w:val="Odwoanieprzypisudolnego"/>
        </w:rPr>
        <w:footnoteRef/>
      </w:r>
      <w:r w:rsidRPr="00563EE4">
        <w:rPr>
          <w:lang w:val="en-GB"/>
        </w:rPr>
        <w:t xml:space="preserve"> Judgment of the </w:t>
      </w:r>
      <w:r>
        <w:rPr>
          <w:lang w:val="en-GB"/>
        </w:rPr>
        <w:t xml:space="preserve">Constitutional </w:t>
      </w:r>
      <w:r w:rsidRPr="00563EE4">
        <w:rPr>
          <w:lang w:val="en-GB"/>
        </w:rPr>
        <w:t xml:space="preserve">Tribunal </w:t>
      </w:r>
      <w:r>
        <w:rPr>
          <w:lang w:val="en-GB"/>
        </w:rPr>
        <w:t xml:space="preserve">(CT) </w:t>
      </w:r>
      <w:r w:rsidRPr="00563EE4">
        <w:rPr>
          <w:lang w:val="en-GB"/>
        </w:rPr>
        <w:t xml:space="preserve">of </w:t>
      </w:r>
      <w:r w:rsidR="00724F8B" w:rsidRPr="00563EE4">
        <w:rPr>
          <w:lang w:val="en-GB"/>
        </w:rPr>
        <w:t>14</w:t>
      </w:r>
      <w:r w:rsidR="00724F8B">
        <w:rPr>
          <w:lang w:val="en-GB"/>
        </w:rPr>
        <w:t xml:space="preserve"> </w:t>
      </w:r>
      <w:r w:rsidRPr="00563EE4">
        <w:rPr>
          <w:lang w:val="en-GB"/>
        </w:rPr>
        <w:t>July 2021, P 7/20</w:t>
      </w:r>
      <w:r w:rsidR="0085544A">
        <w:rPr>
          <w:lang w:val="en-GB"/>
        </w:rPr>
        <w:t>.</w:t>
      </w:r>
    </w:p>
  </w:footnote>
  <w:footnote w:id="21">
    <w:p w14:paraId="3106009E" w14:textId="29B74328" w:rsidR="00CE3DEC" w:rsidRPr="00CE3DEC" w:rsidRDefault="00CE3DEC">
      <w:pPr>
        <w:pStyle w:val="Tekstprzypisudolnego"/>
        <w:rPr>
          <w:lang w:val="en-GB"/>
        </w:rPr>
      </w:pPr>
      <w:r>
        <w:rPr>
          <w:rStyle w:val="Odwoanieprzypisudolnego"/>
        </w:rPr>
        <w:footnoteRef/>
      </w:r>
      <w:r w:rsidRPr="00CE3DEC">
        <w:rPr>
          <w:lang w:val="en-GB"/>
        </w:rPr>
        <w:t xml:space="preserve"> </w:t>
      </w:r>
      <w:r w:rsidRPr="00563EE4">
        <w:rPr>
          <w:lang w:val="en-GB"/>
        </w:rPr>
        <w:t xml:space="preserve">Judgment of the </w:t>
      </w:r>
      <w:r>
        <w:rPr>
          <w:lang w:val="en-GB"/>
        </w:rPr>
        <w:t xml:space="preserve">Constitutional </w:t>
      </w:r>
      <w:r w:rsidRPr="00563EE4">
        <w:rPr>
          <w:lang w:val="en-GB"/>
        </w:rPr>
        <w:t xml:space="preserve">Tribunal </w:t>
      </w:r>
      <w:r>
        <w:rPr>
          <w:lang w:val="en-GB"/>
        </w:rPr>
        <w:t xml:space="preserve">(CT) </w:t>
      </w:r>
      <w:r w:rsidRPr="00563EE4">
        <w:rPr>
          <w:lang w:val="en-GB"/>
        </w:rPr>
        <w:t xml:space="preserve">of </w:t>
      </w:r>
      <w:r w:rsidR="00724F8B" w:rsidRPr="00563EE4">
        <w:rPr>
          <w:lang w:val="en-GB"/>
        </w:rPr>
        <w:t>14</w:t>
      </w:r>
      <w:r w:rsidR="00724F8B">
        <w:rPr>
          <w:lang w:val="en-GB"/>
        </w:rPr>
        <w:t xml:space="preserve"> </w:t>
      </w:r>
      <w:r w:rsidRPr="00563EE4">
        <w:rPr>
          <w:lang w:val="en-GB"/>
        </w:rPr>
        <w:t>July 2021, P 7/20</w:t>
      </w:r>
      <w:r>
        <w:rPr>
          <w:lang w:val="en-GB"/>
        </w:rPr>
        <w:t>, § 7.</w:t>
      </w:r>
    </w:p>
  </w:footnote>
  <w:footnote w:id="22">
    <w:p w14:paraId="04381BF0" w14:textId="76982BFF" w:rsidR="004E4B31" w:rsidRPr="000F7A80" w:rsidRDefault="004E4B31" w:rsidP="004E4B31">
      <w:pPr>
        <w:pStyle w:val="Tekstprzypisudolnego"/>
        <w:rPr>
          <w:lang w:val="en-GB"/>
        </w:rPr>
      </w:pPr>
      <w:r>
        <w:rPr>
          <w:rStyle w:val="Odwoanieprzypisudolnego"/>
        </w:rPr>
        <w:footnoteRef/>
      </w:r>
      <w:r w:rsidRPr="000F7A80">
        <w:rPr>
          <w:lang w:val="en-GB"/>
        </w:rPr>
        <w:t xml:space="preserve"> Judgment of the CJEU of </w:t>
      </w:r>
      <w:r>
        <w:rPr>
          <w:lang w:val="en-GB"/>
        </w:rPr>
        <w:t>March 2</w:t>
      </w:r>
      <w:r w:rsidRPr="000F7A80">
        <w:rPr>
          <w:lang w:val="en-GB"/>
        </w:rPr>
        <w:t>, 20</w:t>
      </w:r>
      <w:r>
        <w:rPr>
          <w:lang w:val="en-GB"/>
        </w:rPr>
        <w:t>21,</w:t>
      </w:r>
      <w:r w:rsidRPr="000F7A80">
        <w:rPr>
          <w:lang w:val="en-GB"/>
        </w:rPr>
        <w:t xml:space="preserve"> </w:t>
      </w:r>
      <w:r w:rsidRPr="00181BE3">
        <w:rPr>
          <w:i/>
          <w:iCs/>
          <w:lang w:val="en-GB"/>
        </w:rPr>
        <w:t>A.B. and Others</w:t>
      </w:r>
      <w:r w:rsidRPr="000F7A80">
        <w:rPr>
          <w:lang w:val="en-GB"/>
        </w:rPr>
        <w:t>, C-824/18.</w:t>
      </w:r>
    </w:p>
  </w:footnote>
  <w:footnote w:id="23">
    <w:p w14:paraId="2AB6CFC6" w14:textId="38B46AE0" w:rsidR="000362DC" w:rsidRPr="000362DC" w:rsidRDefault="000362DC" w:rsidP="0023715B">
      <w:pPr>
        <w:pStyle w:val="Tekstprzypisudolnego"/>
        <w:rPr>
          <w:lang w:val="en-GB"/>
        </w:rPr>
      </w:pPr>
      <w:r>
        <w:rPr>
          <w:rStyle w:val="Odwoanieprzypisudolnego"/>
        </w:rPr>
        <w:footnoteRef/>
      </w:r>
      <w:r w:rsidRPr="000362DC">
        <w:rPr>
          <w:lang w:val="en-GB"/>
        </w:rPr>
        <w:t xml:space="preserve"> The </w:t>
      </w:r>
      <w:r>
        <w:rPr>
          <w:lang w:val="en-GB"/>
        </w:rPr>
        <w:t>m</w:t>
      </w:r>
      <w:r w:rsidRPr="000362DC">
        <w:rPr>
          <w:lang w:val="en-GB"/>
        </w:rPr>
        <w:t>otion of the Prime M</w:t>
      </w:r>
      <w:r>
        <w:rPr>
          <w:lang w:val="en-GB"/>
        </w:rPr>
        <w:t>inister in CT case K 3/21, &lt; </w:t>
      </w:r>
      <w:hyperlink r:id="rId4" w:history="1">
        <w:r w:rsidRPr="0023715B">
          <w:rPr>
            <w:rStyle w:val="Hipercze"/>
            <w:lang w:val="en-GB"/>
          </w:rPr>
          <w:t>https://ipo.trybunal.gov.pl/ipo/dok?dok=F1225335688%</w:t>
        </w:r>
        <w:r w:rsidR="0023715B" w:rsidRPr="0023715B">
          <w:rPr>
            <w:rStyle w:val="Hipercze"/>
            <w:lang w:val="en-GB"/>
          </w:rPr>
          <w:br/>
        </w:r>
        <w:r w:rsidRPr="0023715B">
          <w:rPr>
            <w:rStyle w:val="Hipercze"/>
            <w:lang w:val="en-GB"/>
          </w:rPr>
          <w:t>2FK_3_21_wns_2021_03_29_ADO.pdf</w:t>
        </w:r>
      </w:hyperlink>
      <w:r>
        <w:rPr>
          <w:lang w:val="en-GB"/>
        </w:rPr>
        <w:t> &gt;, [accessed: February 22, 2024]</w:t>
      </w:r>
      <w:r w:rsidR="0085544A">
        <w:rPr>
          <w:lang w:val="en-GB"/>
        </w:rPr>
        <w:t>.</w:t>
      </w:r>
    </w:p>
  </w:footnote>
  <w:footnote w:id="24">
    <w:p w14:paraId="34E8C23C" w14:textId="7502C28A" w:rsidR="002C168B" w:rsidRPr="00906A72" w:rsidRDefault="002C168B" w:rsidP="002C168B">
      <w:pPr>
        <w:pStyle w:val="Tekstprzypisudolnego"/>
        <w:rPr>
          <w:u w:val="single"/>
          <w:lang w:val="de-DE"/>
        </w:rPr>
      </w:pPr>
      <w:r w:rsidRPr="009612A7">
        <w:rPr>
          <w:rStyle w:val="Odwoanieprzypisudolnego"/>
        </w:rPr>
        <w:footnoteRef/>
      </w:r>
      <w:r w:rsidRPr="009612A7">
        <w:rPr>
          <w:lang w:val="en-GB"/>
        </w:rPr>
        <w:t xml:space="preserve"> </w:t>
      </w:r>
      <w:r w:rsidRPr="002C168B">
        <w:rPr>
          <w:lang w:val="en-GB"/>
        </w:rPr>
        <w:t xml:space="preserve">Judgment of the </w:t>
      </w:r>
      <w:r w:rsidR="00CA49F8">
        <w:rPr>
          <w:lang w:val="en-GB"/>
        </w:rPr>
        <w:t>CJEU</w:t>
      </w:r>
      <w:r w:rsidRPr="002C168B">
        <w:rPr>
          <w:lang w:val="en-GB"/>
        </w:rPr>
        <w:t xml:space="preserve"> of </w:t>
      </w:r>
      <w:r>
        <w:rPr>
          <w:lang w:val="en-GB"/>
        </w:rPr>
        <w:t>9</w:t>
      </w:r>
      <w:r w:rsidR="00724F8B" w:rsidRPr="00724F8B">
        <w:rPr>
          <w:lang w:val="en-GB"/>
        </w:rPr>
        <w:t xml:space="preserve"> </w:t>
      </w:r>
      <w:r w:rsidR="00724F8B">
        <w:rPr>
          <w:lang w:val="en-GB"/>
        </w:rPr>
        <w:t>March</w:t>
      </w:r>
      <w:r>
        <w:rPr>
          <w:lang w:val="en-GB"/>
        </w:rPr>
        <w:t xml:space="preserve"> 1978</w:t>
      </w:r>
      <w:r w:rsidRPr="002C168B">
        <w:rPr>
          <w:lang w:val="en-GB"/>
        </w:rPr>
        <w:t xml:space="preserve">, </w:t>
      </w:r>
      <w:proofErr w:type="spellStart"/>
      <w:r w:rsidRPr="00181BE3">
        <w:rPr>
          <w:i/>
          <w:iCs/>
          <w:lang w:val="en-GB"/>
        </w:rPr>
        <w:t>Amministrazione</w:t>
      </w:r>
      <w:proofErr w:type="spellEnd"/>
      <w:r w:rsidRPr="00181BE3">
        <w:rPr>
          <w:i/>
          <w:iCs/>
          <w:lang w:val="en-GB"/>
        </w:rPr>
        <w:t xml:space="preserve"> </w:t>
      </w:r>
      <w:proofErr w:type="spellStart"/>
      <w:r w:rsidRPr="00181BE3">
        <w:rPr>
          <w:i/>
          <w:iCs/>
          <w:lang w:val="en-GB"/>
        </w:rPr>
        <w:t>delle</w:t>
      </w:r>
      <w:proofErr w:type="spellEnd"/>
      <w:r w:rsidRPr="00181BE3">
        <w:rPr>
          <w:i/>
          <w:iCs/>
          <w:lang w:val="en-GB"/>
        </w:rPr>
        <w:t xml:space="preserve"> </w:t>
      </w:r>
      <w:proofErr w:type="spellStart"/>
      <w:r w:rsidRPr="00181BE3">
        <w:rPr>
          <w:i/>
          <w:iCs/>
          <w:lang w:val="en-GB"/>
        </w:rPr>
        <w:t>finanze</w:t>
      </w:r>
      <w:proofErr w:type="spellEnd"/>
      <w:r w:rsidRPr="00181BE3">
        <w:rPr>
          <w:i/>
          <w:iCs/>
          <w:lang w:val="en-GB"/>
        </w:rPr>
        <w:t xml:space="preserve"> </w:t>
      </w:r>
      <w:proofErr w:type="spellStart"/>
      <w:r w:rsidRPr="00181BE3">
        <w:rPr>
          <w:i/>
          <w:iCs/>
          <w:lang w:val="en-GB"/>
        </w:rPr>
        <w:t>dello</w:t>
      </w:r>
      <w:proofErr w:type="spellEnd"/>
      <w:r w:rsidRPr="00181BE3">
        <w:rPr>
          <w:i/>
          <w:iCs/>
          <w:lang w:val="en-GB"/>
        </w:rPr>
        <w:t xml:space="preserve"> </w:t>
      </w:r>
      <w:proofErr w:type="spellStart"/>
      <w:r w:rsidRPr="00181BE3">
        <w:rPr>
          <w:i/>
          <w:iCs/>
          <w:lang w:val="en-GB"/>
        </w:rPr>
        <w:t>Stato</w:t>
      </w:r>
      <w:proofErr w:type="spellEnd"/>
      <w:r w:rsidRPr="00181BE3">
        <w:rPr>
          <w:i/>
          <w:iCs/>
          <w:lang w:val="en-GB"/>
        </w:rPr>
        <w:t xml:space="preserve"> v </w:t>
      </w:r>
      <w:proofErr w:type="spellStart"/>
      <w:r w:rsidRPr="00181BE3">
        <w:rPr>
          <w:i/>
          <w:iCs/>
          <w:lang w:val="en-GB"/>
        </w:rPr>
        <w:t>Simmenthal</w:t>
      </w:r>
      <w:proofErr w:type="spellEnd"/>
      <w:r w:rsidRPr="002C168B">
        <w:rPr>
          <w:lang w:val="en-GB"/>
        </w:rPr>
        <w:t xml:space="preserve">, </w:t>
      </w:r>
      <w:r w:rsidRPr="00906A72">
        <w:rPr>
          <w:lang w:val="de-DE"/>
        </w:rPr>
        <w:t>C-106/77.</w:t>
      </w:r>
    </w:p>
  </w:footnote>
  <w:footnote w:id="25">
    <w:p w14:paraId="60704A11" w14:textId="313CC13D" w:rsidR="002C168B" w:rsidRPr="00206FC2" w:rsidRDefault="002C168B" w:rsidP="002C168B">
      <w:pPr>
        <w:pStyle w:val="Tekstprzypisudolnego"/>
        <w:rPr>
          <w:lang w:val="en-GB"/>
        </w:rPr>
      </w:pPr>
      <w:r w:rsidRPr="002C168B">
        <w:rPr>
          <w:rStyle w:val="Odwoanieprzypisudolnego"/>
        </w:rPr>
        <w:footnoteRef/>
      </w:r>
      <w:r w:rsidRPr="002C168B">
        <w:rPr>
          <w:lang w:val="de-DE"/>
        </w:rPr>
        <w:t xml:space="preserve"> </w:t>
      </w:r>
      <w:bookmarkStart w:id="1" w:name="_Hlk157523822"/>
      <w:proofErr w:type="spellStart"/>
      <w:r w:rsidRPr="002C168B">
        <w:rPr>
          <w:lang w:val="de-DE"/>
        </w:rPr>
        <w:t>Judgment</w:t>
      </w:r>
      <w:proofErr w:type="spellEnd"/>
      <w:r w:rsidRPr="002C168B">
        <w:rPr>
          <w:lang w:val="de-DE"/>
        </w:rPr>
        <w:t xml:space="preserve"> </w:t>
      </w:r>
      <w:proofErr w:type="spellStart"/>
      <w:r w:rsidRPr="002C168B">
        <w:rPr>
          <w:lang w:val="de-DE"/>
        </w:rPr>
        <w:t>of</w:t>
      </w:r>
      <w:proofErr w:type="spellEnd"/>
      <w:r w:rsidRPr="002C168B">
        <w:rPr>
          <w:lang w:val="de-DE"/>
        </w:rPr>
        <w:t xml:space="preserve"> </w:t>
      </w:r>
      <w:proofErr w:type="spellStart"/>
      <w:r w:rsidRPr="002C168B">
        <w:rPr>
          <w:lang w:val="de-DE"/>
        </w:rPr>
        <w:t>the</w:t>
      </w:r>
      <w:proofErr w:type="spellEnd"/>
      <w:r w:rsidRPr="002C168B">
        <w:rPr>
          <w:lang w:val="de-DE"/>
        </w:rPr>
        <w:t xml:space="preserve"> </w:t>
      </w:r>
      <w:r w:rsidR="00CA49F8">
        <w:rPr>
          <w:lang w:val="de-DE"/>
        </w:rPr>
        <w:t>CJEU</w:t>
      </w:r>
      <w:r w:rsidRPr="002C168B">
        <w:rPr>
          <w:lang w:val="de-DE"/>
        </w:rPr>
        <w:t xml:space="preserve"> </w:t>
      </w:r>
      <w:proofErr w:type="spellStart"/>
      <w:r w:rsidRPr="002C168B">
        <w:rPr>
          <w:lang w:val="de-DE"/>
        </w:rPr>
        <w:t>of</w:t>
      </w:r>
      <w:proofErr w:type="spellEnd"/>
      <w:r w:rsidRPr="002C168B">
        <w:rPr>
          <w:lang w:val="de-DE"/>
        </w:rPr>
        <w:t xml:space="preserve"> </w:t>
      </w:r>
      <w:r w:rsidR="00724F8B">
        <w:rPr>
          <w:lang w:val="de-DE"/>
        </w:rPr>
        <w:t xml:space="preserve">17 </w:t>
      </w:r>
      <w:proofErr w:type="spellStart"/>
      <w:r w:rsidR="00724F8B">
        <w:rPr>
          <w:lang w:val="de-DE"/>
        </w:rPr>
        <w:t>December</w:t>
      </w:r>
      <w:proofErr w:type="spellEnd"/>
      <w:r w:rsidR="00724F8B">
        <w:rPr>
          <w:lang w:val="de-DE"/>
        </w:rPr>
        <w:t xml:space="preserve"> </w:t>
      </w:r>
      <w:r w:rsidR="00906A72">
        <w:rPr>
          <w:lang w:val="de-DE"/>
        </w:rPr>
        <w:t>1970</w:t>
      </w:r>
      <w:r w:rsidRPr="002C168B">
        <w:rPr>
          <w:lang w:val="de-DE"/>
        </w:rPr>
        <w:t xml:space="preserve">, </w:t>
      </w:r>
      <w:r w:rsidRPr="00181BE3">
        <w:rPr>
          <w:i/>
          <w:iCs/>
          <w:lang w:val="de-DE"/>
        </w:rPr>
        <w:t>Internationale Handelsgesellschaft mbH v Einfuhr- und Vorratsstelle für Getreide und Futtermittel</w:t>
      </w:r>
      <w:r w:rsidRPr="002C168B">
        <w:rPr>
          <w:lang w:val="de-DE"/>
        </w:rPr>
        <w:t xml:space="preserve">, </w:t>
      </w:r>
      <w:r w:rsidRPr="00206FC2">
        <w:rPr>
          <w:lang w:val="en-GB"/>
        </w:rPr>
        <w:t>C-11/70.</w:t>
      </w:r>
      <w:bookmarkEnd w:id="1"/>
    </w:p>
  </w:footnote>
  <w:footnote w:id="26">
    <w:p w14:paraId="59C2CD68" w14:textId="38C0773B" w:rsidR="0089554C" w:rsidRPr="0089554C" w:rsidRDefault="0089554C">
      <w:pPr>
        <w:pStyle w:val="Tekstprzypisudolnego"/>
        <w:rPr>
          <w:lang w:val="en-GB"/>
        </w:rPr>
      </w:pPr>
      <w:r>
        <w:rPr>
          <w:rStyle w:val="Odwoanieprzypisudolnego"/>
        </w:rPr>
        <w:footnoteRef/>
      </w:r>
      <w:r w:rsidRPr="0089554C">
        <w:rPr>
          <w:lang w:val="en-GB"/>
        </w:rPr>
        <w:t xml:space="preserve"> </w:t>
      </w:r>
      <w:r>
        <w:rPr>
          <w:lang w:val="en-GB"/>
        </w:rPr>
        <w:t xml:space="preserve">Resolution of the </w:t>
      </w:r>
      <w:r w:rsidR="00543038">
        <w:rPr>
          <w:lang w:val="en-GB"/>
        </w:rPr>
        <w:t>Supreme Court (</w:t>
      </w:r>
      <w:r>
        <w:rPr>
          <w:lang w:val="en-GB"/>
        </w:rPr>
        <w:t>combined Civil Chamber, Criminal Chamber, and Labour Law and Social Security Chamber</w:t>
      </w:r>
      <w:r w:rsidR="00543038">
        <w:rPr>
          <w:lang w:val="en-GB"/>
        </w:rPr>
        <w:t>)</w:t>
      </w:r>
      <w:r>
        <w:rPr>
          <w:lang w:val="en-GB"/>
        </w:rPr>
        <w:t xml:space="preserve"> of </w:t>
      </w:r>
      <w:r w:rsidR="00724F8B">
        <w:rPr>
          <w:lang w:val="en-GB"/>
        </w:rPr>
        <w:t xml:space="preserve">23 </w:t>
      </w:r>
      <w:r>
        <w:rPr>
          <w:lang w:val="en-GB"/>
        </w:rPr>
        <w:t>January 2020, BSA I-4110-1/20</w:t>
      </w:r>
      <w:r w:rsidR="00EC05DD">
        <w:rPr>
          <w:lang w:val="en-GB"/>
        </w:rPr>
        <w:t>.</w:t>
      </w:r>
    </w:p>
  </w:footnote>
  <w:footnote w:id="27">
    <w:p w14:paraId="75E369D8" w14:textId="1B0EB868" w:rsidR="00206FC2" w:rsidRPr="00206FC2" w:rsidRDefault="00206FC2">
      <w:pPr>
        <w:pStyle w:val="Tekstprzypisudolnego"/>
        <w:rPr>
          <w:lang w:val="en-GB"/>
        </w:rPr>
      </w:pPr>
      <w:r>
        <w:rPr>
          <w:rStyle w:val="Odwoanieprzypisudolnego"/>
        </w:rPr>
        <w:footnoteRef/>
      </w:r>
      <w:r w:rsidRPr="00206FC2">
        <w:rPr>
          <w:lang w:val="en-GB"/>
        </w:rPr>
        <w:t xml:space="preserve"> </w:t>
      </w:r>
      <w:r>
        <w:rPr>
          <w:lang w:val="en-GB"/>
        </w:rPr>
        <w:t>The motion of the Prime Minister…</w:t>
      </w:r>
    </w:p>
  </w:footnote>
  <w:footnote w:id="28">
    <w:p w14:paraId="0A28B9A9" w14:textId="7C52A4C4" w:rsidR="00DA25BD" w:rsidRPr="00DB4151" w:rsidRDefault="00DA25BD" w:rsidP="00DA25BD">
      <w:pPr>
        <w:pStyle w:val="Tekstprzypisudolnego"/>
        <w:rPr>
          <w:lang w:val="en-GB"/>
        </w:rPr>
      </w:pPr>
      <w:r>
        <w:rPr>
          <w:rStyle w:val="Odwoanieprzypisudolnego"/>
        </w:rPr>
        <w:footnoteRef/>
      </w:r>
      <w:r>
        <w:rPr>
          <w:lang w:val="en-GB"/>
        </w:rPr>
        <w:t> </w:t>
      </w:r>
      <w:r w:rsidRPr="00DB4151">
        <w:rPr>
          <w:lang w:val="en-GB"/>
        </w:rPr>
        <w:t>Treaty on European Union</w:t>
      </w:r>
      <w:r w:rsidR="00E964D8">
        <w:rPr>
          <w:lang w:val="en-GB"/>
        </w:rPr>
        <w:t>…</w:t>
      </w:r>
    </w:p>
  </w:footnote>
  <w:footnote w:id="29">
    <w:p w14:paraId="682A2D18" w14:textId="295941CD" w:rsidR="000C6059" w:rsidRPr="000C6059" w:rsidRDefault="000C6059">
      <w:pPr>
        <w:pStyle w:val="Tekstprzypisudolnego"/>
        <w:rPr>
          <w:lang w:val="en-GB"/>
        </w:rPr>
      </w:pPr>
      <w:r>
        <w:rPr>
          <w:rStyle w:val="Odwoanieprzypisudolnego"/>
        </w:rPr>
        <w:footnoteRef/>
      </w:r>
      <w:r w:rsidRPr="000C6059">
        <w:rPr>
          <w:lang w:val="en-GB"/>
        </w:rPr>
        <w:t xml:space="preserve"> </w:t>
      </w:r>
      <w:r>
        <w:rPr>
          <w:lang w:val="en-GB"/>
        </w:rPr>
        <w:t xml:space="preserve">Judgment of the </w:t>
      </w:r>
      <w:r w:rsidR="00CA49F8">
        <w:rPr>
          <w:lang w:val="en-GB"/>
        </w:rPr>
        <w:t>CJEU</w:t>
      </w:r>
      <w:r>
        <w:rPr>
          <w:lang w:val="en-GB"/>
        </w:rPr>
        <w:t xml:space="preserve"> of 13</w:t>
      </w:r>
      <w:r w:rsidR="00724F8B" w:rsidRPr="00724F8B">
        <w:rPr>
          <w:lang w:val="en-GB"/>
        </w:rPr>
        <w:t xml:space="preserve"> </w:t>
      </w:r>
      <w:r w:rsidR="00724F8B">
        <w:rPr>
          <w:lang w:val="en-GB"/>
        </w:rPr>
        <w:t>March</w:t>
      </w:r>
      <w:r>
        <w:rPr>
          <w:lang w:val="en-GB"/>
        </w:rPr>
        <w:t xml:space="preserve"> 2007, </w:t>
      </w:r>
      <w:r w:rsidRPr="00181BE3">
        <w:rPr>
          <w:i/>
          <w:iCs/>
          <w:lang w:val="en-GB"/>
        </w:rPr>
        <w:t>Unibet</w:t>
      </w:r>
      <w:r>
        <w:rPr>
          <w:lang w:val="en-GB"/>
        </w:rPr>
        <w:t>, C-432/05</w:t>
      </w:r>
      <w:r w:rsidR="00D17FDF">
        <w:rPr>
          <w:lang w:val="en-GB"/>
        </w:rPr>
        <w:t>.</w:t>
      </w:r>
    </w:p>
  </w:footnote>
  <w:footnote w:id="30">
    <w:p w14:paraId="3E85D7D4" w14:textId="4A2BBE72" w:rsidR="009C33EF" w:rsidRPr="009C33EF" w:rsidRDefault="009C33EF">
      <w:pPr>
        <w:pStyle w:val="Tekstprzypisudolnego"/>
        <w:rPr>
          <w:lang w:val="en-GB"/>
        </w:rPr>
      </w:pPr>
      <w:r>
        <w:rPr>
          <w:rStyle w:val="Odwoanieprzypisudolnego"/>
        </w:rPr>
        <w:footnoteRef/>
      </w:r>
      <w:r w:rsidRPr="009C33EF">
        <w:rPr>
          <w:lang w:val="en-GB"/>
        </w:rPr>
        <w:t xml:space="preserve"> Judgment of the </w:t>
      </w:r>
      <w:r>
        <w:rPr>
          <w:lang w:val="en-GB"/>
        </w:rPr>
        <w:t xml:space="preserve">Constitutional </w:t>
      </w:r>
      <w:r w:rsidRPr="009C33EF">
        <w:rPr>
          <w:lang w:val="en-GB"/>
        </w:rPr>
        <w:t>Tribunal of October 7, 2021, K 3/21</w:t>
      </w:r>
      <w:r w:rsidR="00724F8B">
        <w:rPr>
          <w:lang w:val="en-GB"/>
        </w:rPr>
        <w:t>.</w:t>
      </w:r>
    </w:p>
  </w:footnote>
  <w:footnote w:id="31">
    <w:p w14:paraId="3CC0C6B7" w14:textId="0AA75B19" w:rsidR="00F96B4B" w:rsidRPr="00C359A6" w:rsidRDefault="00F96B4B" w:rsidP="00F96B4B">
      <w:pPr>
        <w:pStyle w:val="Tekstprzypisudolnego"/>
        <w:rPr>
          <w:lang w:val="en-GB"/>
        </w:rPr>
      </w:pPr>
      <w:r>
        <w:rPr>
          <w:rStyle w:val="Odwoanieprzypisudolnego"/>
        </w:rPr>
        <w:footnoteRef/>
      </w:r>
      <w:r w:rsidRPr="00C359A6">
        <w:rPr>
          <w:lang w:val="en-GB"/>
        </w:rPr>
        <w:t xml:space="preserve"> </w:t>
      </w:r>
      <w:r>
        <w:rPr>
          <w:lang w:val="en-GB"/>
        </w:rPr>
        <w:t>Judgment of the ECtHR of 7</w:t>
      </w:r>
      <w:r w:rsidR="00724F8B" w:rsidRPr="00724F8B">
        <w:rPr>
          <w:lang w:val="en-GB"/>
        </w:rPr>
        <w:t xml:space="preserve"> </w:t>
      </w:r>
      <w:r w:rsidR="00724F8B">
        <w:rPr>
          <w:lang w:val="en-GB"/>
        </w:rPr>
        <w:t>May</w:t>
      </w:r>
      <w:r>
        <w:rPr>
          <w:lang w:val="en-GB"/>
        </w:rPr>
        <w:t xml:space="preserve"> 2021, </w:t>
      </w:r>
      <w:r w:rsidRPr="00181BE3">
        <w:rPr>
          <w:i/>
          <w:iCs/>
          <w:lang w:val="en-GB"/>
        </w:rPr>
        <w:t xml:space="preserve">Xero Flor w </w:t>
      </w:r>
      <w:proofErr w:type="spellStart"/>
      <w:r w:rsidRPr="00181BE3">
        <w:rPr>
          <w:i/>
          <w:iCs/>
          <w:lang w:val="en-GB"/>
        </w:rPr>
        <w:t>Polsce</w:t>
      </w:r>
      <w:proofErr w:type="spellEnd"/>
      <w:r w:rsidRPr="00181BE3">
        <w:rPr>
          <w:i/>
          <w:iCs/>
          <w:lang w:val="en-GB"/>
        </w:rPr>
        <w:t xml:space="preserve"> sp. z </w:t>
      </w:r>
      <w:proofErr w:type="spellStart"/>
      <w:r w:rsidRPr="00181BE3">
        <w:rPr>
          <w:i/>
          <w:iCs/>
          <w:lang w:val="en-GB"/>
        </w:rPr>
        <w:t>o.o.</w:t>
      </w:r>
      <w:proofErr w:type="spellEnd"/>
      <w:r w:rsidRPr="00181BE3">
        <w:rPr>
          <w:i/>
          <w:iCs/>
          <w:lang w:val="en-GB"/>
        </w:rPr>
        <w:t xml:space="preserve"> v Poland</w:t>
      </w:r>
      <w:r>
        <w:rPr>
          <w:lang w:val="en-GB"/>
        </w:rPr>
        <w:t>, application no. 4907/18.</w:t>
      </w:r>
    </w:p>
  </w:footnote>
  <w:footnote w:id="32">
    <w:p w14:paraId="20B364BA" w14:textId="2ACF01BA" w:rsidR="006151E1" w:rsidRPr="000362DC" w:rsidRDefault="006151E1" w:rsidP="006151E1">
      <w:pPr>
        <w:pStyle w:val="Tekstprzypisudolnego"/>
        <w:rPr>
          <w:lang w:val="en-GB"/>
        </w:rPr>
      </w:pPr>
      <w:r>
        <w:rPr>
          <w:rStyle w:val="Odwoanieprzypisudolnego"/>
        </w:rPr>
        <w:footnoteRef/>
      </w:r>
      <w:r w:rsidRPr="000362DC">
        <w:rPr>
          <w:lang w:val="en-GB"/>
        </w:rPr>
        <w:t xml:space="preserve"> The </w:t>
      </w:r>
      <w:r>
        <w:rPr>
          <w:lang w:val="en-GB"/>
        </w:rPr>
        <w:t>m</w:t>
      </w:r>
      <w:r w:rsidRPr="000362DC">
        <w:rPr>
          <w:lang w:val="en-GB"/>
        </w:rPr>
        <w:t xml:space="preserve">otion of the </w:t>
      </w:r>
      <w:r>
        <w:rPr>
          <w:lang w:val="en-GB"/>
        </w:rPr>
        <w:t>Prosecutor General in CT case K 6/21, &lt; </w:t>
      </w:r>
      <w:hyperlink r:id="rId5" w:history="1">
        <w:r w:rsidRPr="006151E1">
          <w:rPr>
            <w:rStyle w:val="Hipercze"/>
            <w:lang w:val="en-GB"/>
          </w:rPr>
          <w:t>https://ipo.trybunal.gov.pl/ipo/dok?dok=124186a3-1771-4e05-85c2-b9d09e8ca6ea%2FK_6_21_wns_2021_07_27_ADO.pdf</w:t>
        </w:r>
      </w:hyperlink>
      <w:r>
        <w:rPr>
          <w:lang w:val="en-GB"/>
        </w:rPr>
        <w:t xml:space="preserve"> &gt;, [accessed: February 22, 2024]</w:t>
      </w:r>
      <w:r w:rsidR="0085544A">
        <w:rPr>
          <w:lang w:val="en-GB"/>
        </w:rPr>
        <w:t>.</w:t>
      </w:r>
    </w:p>
  </w:footnote>
  <w:footnote w:id="33">
    <w:p w14:paraId="11195445" w14:textId="515E7CD6" w:rsidR="001B0665" w:rsidRPr="001B0665" w:rsidRDefault="001B0665">
      <w:pPr>
        <w:pStyle w:val="Tekstprzypisudolnego"/>
        <w:rPr>
          <w:lang w:val="en-GB"/>
        </w:rPr>
      </w:pPr>
      <w:r>
        <w:rPr>
          <w:rStyle w:val="Odwoanieprzypisudolnego"/>
        </w:rPr>
        <w:footnoteRef/>
      </w:r>
      <w:r w:rsidRPr="001B0665">
        <w:rPr>
          <w:lang w:val="en-GB"/>
        </w:rPr>
        <w:t xml:space="preserve"> </w:t>
      </w:r>
      <w:r>
        <w:rPr>
          <w:lang w:val="en-GB"/>
        </w:rPr>
        <w:t>The motion of the Prosecutor General in CT case K 6/21…</w:t>
      </w:r>
    </w:p>
  </w:footnote>
  <w:footnote w:id="34">
    <w:p w14:paraId="70EA3F70" w14:textId="54679D32" w:rsidR="007F0203" w:rsidRPr="007F0203" w:rsidRDefault="007F0203">
      <w:pPr>
        <w:pStyle w:val="Tekstprzypisudolnego"/>
        <w:rPr>
          <w:lang w:val="en-GB"/>
        </w:rPr>
      </w:pPr>
      <w:r>
        <w:rPr>
          <w:rStyle w:val="Odwoanieprzypisudolnego"/>
        </w:rPr>
        <w:footnoteRef/>
      </w:r>
      <w:r w:rsidRPr="007F0203">
        <w:rPr>
          <w:lang w:val="en-GB"/>
        </w:rPr>
        <w:t xml:space="preserve"> Judgment of the </w:t>
      </w:r>
      <w:r>
        <w:rPr>
          <w:lang w:val="en-GB"/>
        </w:rPr>
        <w:t xml:space="preserve">Constitutional </w:t>
      </w:r>
      <w:r w:rsidRPr="007F0203">
        <w:rPr>
          <w:lang w:val="en-GB"/>
        </w:rPr>
        <w:t xml:space="preserve">Tribunal of </w:t>
      </w:r>
      <w:r w:rsidR="00724F8B" w:rsidRPr="007F0203">
        <w:rPr>
          <w:lang w:val="en-GB"/>
        </w:rPr>
        <w:t>24</w:t>
      </w:r>
      <w:r w:rsidR="00724F8B">
        <w:rPr>
          <w:lang w:val="en-GB"/>
        </w:rPr>
        <w:t xml:space="preserve"> </w:t>
      </w:r>
      <w:r w:rsidRPr="007F0203">
        <w:rPr>
          <w:lang w:val="en-GB"/>
        </w:rPr>
        <w:t>November</w:t>
      </w:r>
      <w:r w:rsidR="00724F8B">
        <w:rPr>
          <w:lang w:val="en-GB"/>
        </w:rPr>
        <w:t xml:space="preserve"> </w:t>
      </w:r>
      <w:r w:rsidRPr="007F0203">
        <w:rPr>
          <w:lang w:val="en-GB"/>
        </w:rPr>
        <w:t>2021, K 6/21</w:t>
      </w:r>
      <w:r w:rsidR="00724F8B">
        <w:rPr>
          <w:lang w:val="en-GB"/>
        </w:rPr>
        <w:t>.</w:t>
      </w:r>
    </w:p>
  </w:footnote>
  <w:footnote w:id="35">
    <w:p w14:paraId="3B94EC99" w14:textId="2606734A" w:rsidR="004C069E" w:rsidRPr="004C069E" w:rsidRDefault="004C069E">
      <w:pPr>
        <w:pStyle w:val="Tekstprzypisudolnego"/>
        <w:rPr>
          <w:lang w:val="en-GB"/>
        </w:rPr>
      </w:pPr>
      <w:r>
        <w:rPr>
          <w:rStyle w:val="Odwoanieprzypisudolnego"/>
        </w:rPr>
        <w:footnoteRef/>
      </w:r>
      <w:r w:rsidRPr="004C069E">
        <w:rPr>
          <w:lang w:val="en-GB"/>
        </w:rPr>
        <w:t xml:space="preserve"> </w:t>
      </w:r>
      <w:r>
        <w:rPr>
          <w:lang w:val="en-GB"/>
        </w:rPr>
        <w:t xml:space="preserve">Judgment of the ECtHR of </w:t>
      </w:r>
      <w:r w:rsidR="00724F8B">
        <w:rPr>
          <w:lang w:val="en-GB"/>
        </w:rPr>
        <w:t xml:space="preserve">29 </w:t>
      </w:r>
      <w:r>
        <w:rPr>
          <w:lang w:val="en-GB"/>
        </w:rPr>
        <w:t xml:space="preserve">June, 2021, </w:t>
      </w:r>
      <w:r w:rsidRPr="00181BE3">
        <w:rPr>
          <w:i/>
          <w:iCs/>
          <w:lang w:val="en-GB"/>
        </w:rPr>
        <w:t xml:space="preserve">Broda and </w:t>
      </w:r>
      <w:proofErr w:type="spellStart"/>
      <w:r w:rsidRPr="00181BE3">
        <w:rPr>
          <w:i/>
          <w:iCs/>
          <w:lang w:val="en-GB"/>
        </w:rPr>
        <w:t>Bojara</w:t>
      </w:r>
      <w:proofErr w:type="spellEnd"/>
      <w:r w:rsidRPr="00181BE3">
        <w:rPr>
          <w:i/>
          <w:iCs/>
          <w:lang w:val="en-GB"/>
        </w:rPr>
        <w:t xml:space="preserve"> v. Poland</w:t>
      </w:r>
      <w:r>
        <w:rPr>
          <w:lang w:val="en-GB"/>
        </w:rPr>
        <w:t>, application nos. 26691/18 and 27367/18.</w:t>
      </w:r>
    </w:p>
  </w:footnote>
  <w:footnote w:id="36">
    <w:p w14:paraId="612C63AB" w14:textId="665060FB" w:rsidR="0085089D" w:rsidRPr="0085089D" w:rsidRDefault="0085089D">
      <w:pPr>
        <w:pStyle w:val="Tekstprzypisudolnego"/>
        <w:rPr>
          <w:lang w:val="en-GB"/>
        </w:rPr>
      </w:pPr>
      <w:r>
        <w:rPr>
          <w:rStyle w:val="Odwoanieprzypisudolnego"/>
        </w:rPr>
        <w:footnoteRef/>
      </w:r>
      <w:r w:rsidRPr="0085089D">
        <w:rPr>
          <w:lang w:val="en-GB"/>
        </w:rPr>
        <w:t xml:space="preserve"> </w:t>
      </w:r>
      <w:r>
        <w:rPr>
          <w:lang w:val="en-GB"/>
        </w:rPr>
        <w:t>Judgment of the ECtHR of 22</w:t>
      </w:r>
      <w:r w:rsidR="00724F8B" w:rsidRPr="00724F8B">
        <w:rPr>
          <w:lang w:val="en-GB"/>
        </w:rPr>
        <w:t xml:space="preserve"> </w:t>
      </w:r>
      <w:r w:rsidR="00724F8B">
        <w:rPr>
          <w:lang w:val="en-GB"/>
        </w:rPr>
        <w:t>July</w:t>
      </w:r>
      <w:r>
        <w:rPr>
          <w:lang w:val="en-GB"/>
        </w:rPr>
        <w:t xml:space="preserve"> 2021, </w:t>
      </w:r>
      <w:proofErr w:type="spellStart"/>
      <w:r w:rsidRPr="00181BE3">
        <w:rPr>
          <w:i/>
          <w:iCs/>
          <w:lang w:val="en-GB"/>
        </w:rPr>
        <w:t>Reczkowicz</w:t>
      </w:r>
      <w:proofErr w:type="spellEnd"/>
      <w:r w:rsidRPr="00181BE3">
        <w:rPr>
          <w:i/>
          <w:iCs/>
          <w:lang w:val="en-GB"/>
        </w:rPr>
        <w:t xml:space="preserve"> v. Poland</w:t>
      </w:r>
      <w:r>
        <w:rPr>
          <w:lang w:val="en-GB"/>
        </w:rPr>
        <w:t>, application no. 43447/19.</w:t>
      </w:r>
    </w:p>
  </w:footnote>
  <w:footnote w:id="37">
    <w:p w14:paraId="6D88C61A" w14:textId="6281F451" w:rsidR="007227B5" w:rsidRPr="007227B5" w:rsidRDefault="007227B5">
      <w:pPr>
        <w:pStyle w:val="Tekstprzypisudolnego"/>
        <w:rPr>
          <w:lang w:val="en-GB"/>
        </w:rPr>
      </w:pPr>
      <w:r>
        <w:rPr>
          <w:rStyle w:val="Odwoanieprzypisudolnego"/>
        </w:rPr>
        <w:footnoteRef/>
      </w:r>
      <w:r w:rsidRPr="007227B5">
        <w:rPr>
          <w:lang w:val="en-GB"/>
        </w:rPr>
        <w:t xml:space="preserve"> The motion of the Prosecutor General in CT case K </w:t>
      </w:r>
      <w:r>
        <w:rPr>
          <w:lang w:val="en-GB"/>
        </w:rPr>
        <w:t>7</w:t>
      </w:r>
      <w:r w:rsidRPr="007227B5">
        <w:rPr>
          <w:lang w:val="en-GB"/>
        </w:rPr>
        <w:t xml:space="preserve">/21, &lt; </w:t>
      </w:r>
      <w:hyperlink r:id="rId6" w:history="1">
        <w:r w:rsidRPr="007227B5">
          <w:rPr>
            <w:rStyle w:val="Hipercze"/>
            <w:lang w:val="en-GB"/>
          </w:rPr>
          <w:t>https://ipo.trybunal.gov.pl/ipo/dok?dok=8d7ecce7-c7a5-433c-b4b9-0a92f1e301d5%2FK_7_21_wns_2021_11_09_ADO.pdf</w:t>
        </w:r>
      </w:hyperlink>
      <w:r>
        <w:rPr>
          <w:lang w:val="en-GB"/>
        </w:rPr>
        <w:t xml:space="preserve"> </w:t>
      </w:r>
      <w:r w:rsidRPr="007227B5">
        <w:rPr>
          <w:lang w:val="en-GB"/>
        </w:rPr>
        <w:t>&gt;,</w:t>
      </w:r>
      <w:r>
        <w:rPr>
          <w:lang w:val="en-GB"/>
        </w:rPr>
        <w:t xml:space="preserve"> supplemented with a further filing in the same case &lt; </w:t>
      </w:r>
      <w:hyperlink r:id="rId7" w:history="1">
        <w:r w:rsidRPr="007227B5">
          <w:rPr>
            <w:rStyle w:val="Hipercze"/>
            <w:lang w:val="en-GB"/>
          </w:rPr>
          <w:t>https://ipo.trybunal.gov.pl/ipo/dok?dok=f8601baa-62e3-485e-9990-9965db55654c%2FK_7_21_</w:t>
        </w:r>
        <w:r w:rsidRPr="007227B5">
          <w:rPr>
            <w:rStyle w:val="Hipercze"/>
            <w:lang w:val="en-GB"/>
          </w:rPr>
          <w:br/>
          <w:t>pg_2022_01_13_ADO.pdf</w:t>
        </w:r>
      </w:hyperlink>
      <w:r>
        <w:rPr>
          <w:lang w:val="en-GB"/>
        </w:rPr>
        <w:t xml:space="preserve"> &gt;</w:t>
      </w:r>
      <w:r w:rsidRPr="007227B5">
        <w:rPr>
          <w:lang w:val="en-GB"/>
        </w:rPr>
        <w:t xml:space="preserve"> [accessed: February 22, 2024]</w:t>
      </w:r>
      <w:r w:rsidR="0085544A">
        <w:rPr>
          <w:lang w:val="en-GB"/>
        </w:rPr>
        <w:t>.</w:t>
      </w:r>
    </w:p>
  </w:footnote>
  <w:footnote w:id="38">
    <w:p w14:paraId="1AA421A7" w14:textId="4ACD8498" w:rsidR="0096055E" w:rsidRPr="0096055E" w:rsidRDefault="0096055E">
      <w:pPr>
        <w:pStyle w:val="Tekstprzypisudolnego"/>
        <w:rPr>
          <w:lang w:val="en-GB"/>
        </w:rPr>
      </w:pPr>
      <w:r>
        <w:rPr>
          <w:rStyle w:val="Odwoanieprzypisudolnego"/>
        </w:rPr>
        <w:footnoteRef/>
      </w:r>
      <w:r w:rsidRPr="0096055E">
        <w:rPr>
          <w:lang w:val="en-GB"/>
        </w:rPr>
        <w:t xml:space="preserve"> </w:t>
      </w:r>
      <w:r>
        <w:rPr>
          <w:lang w:val="en-GB"/>
        </w:rPr>
        <w:t>Judgment of the EC</w:t>
      </w:r>
      <w:r w:rsidR="00D9528D">
        <w:rPr>
          <w:lang w:val="en-GB"/>
        </w:rPr>
        <w:t>t</w:t>
      </w:r>
      <w:r>
        <w:rPr>
          <w:lang w:val="en-GB"/>
        </w:rPr>
        <w:t>HR of 8</w:t>
      </w:r>
      <w:r w:rsidR="00724F8B" w:rsidRPr="00724F8B">
        <w:rPr>
          <w:lang w:val="en-GB"/>
        </w:rPr>
        <w:t xml:space="preserve"> </w:t>
      </w:r>
      <w:r w:rsidR="00724F8B">
        <w:rPr>
          <w:lang w:val="en-GB"/>
        </w:rPr>
        <w:t>November</w:t>
      </w:r>
      <w:r>
        <w:rPr>
          <w:lang w:val="en-GB"/>
        </w:rPr>
        <w:t xml:space="preserve"> 2021, </w:t>
      </w:r>
      <w:r w:rsidRPr="00181BE3">
        <w:rPr>
          <w:i/>
          <w:iCs/>
          <w:lang w:val="en-GB"/>
        </w:rPr>
        <w:t>Dolińska-Ficek and Ozimek v Poland</w:t>
      </w:r>
      <w:r>
        <w:rPr>
          <w:lang w:val="en-GB"/>
        </w:rPr>
        <w:t>, application nos. 49868/19 and 57511/19.</w:t>
      </w:r>
    </w:p>
  </w:footnote>
  <w:footnote w:id="39">
    <w:p w14:paraId="00B07AB8" w14:textId="740B3446" w:rsidR="006B5CF7" w:rsidRPr="0096055E" w:rsidRDefault="006B5CF7">
      <w:pPr>
        <w:pStyle w:val="Tekstprzypisudolnego"/>
        <w:rPr>
          <w:lang w:val="en-GB"/>
        </w:rPr>
      </w:pPr>
      <w:r>
        <w:rPr>
          <w:rStyle w:val="Odwoanieprzypisudolnego"/>
        </w:rPr>
        <w:footnoteRef/>
      </w:r>
      <w:r w:rsidRPr="006B5CF7">
        <w:rPr>
          <w:lang w:val="en-GB"/>
        </w:rPr>
        <w:t xml:space="preserve"> Judgment of the Constitutional Tribunal of 10</w:t>
      </w:r>
      <w:r w:rsidR="00724F8B" w:rsidRPr="00724F8B">
        <w:rPr>
          <w:lang w:val="en-GB"/>
        </w:rPr>
        <w:t xml:space="preserve"> </w:t>
      </w:r>
      <w:r w:rsidR="00724F8B" w:rsidRPr="006B5CF7">
        <w:rPr>
          <w:lang w:val="en-GB"/>
        </w:rPr>
        <w:t>March</w:t>
      </w:r>
      <w:r w:rsidRPr="006B5CF7">
        <w:rPr>
          <w:lang w:val="en-GB"/>
        </w:rPr>
        <w:t xml:space="preserve"> 2022, </w:t>
      </w:r>
      <w:r w:rsidRPr="0096055E">
        <w:rPr>
          <w:lang w:val="en-GB"/>
        </w:rPr>
        <w:t>K 7/21.</w:t>
      </w:r>
    </w:p>
  </w:footnote>
  <w:footnote w:id="40">
    <w:p w14:paraId="44028E65" w14:textId="1DECAFB5" w:rsidR="002027A2" w:rsidRPr="00181BE3" w:rsidRDefault="002027A2" w:rsidP="002027A2">
      <w:pPr>
        <w:pStyle w:val="Tekstprzypisudolnego"/>
      </w:pPr>
      <w:r>
        <w:rPr>
          <w:rStyle w:val="Odwoanieprzypisudolnego"/>
        </w:rPr>
        <w:footnoteRef/>
      </w:r>
      <w:r w:rsidRPr="00181BE3">
        <w:t xml:space="preserve"> P. Bogdanowicz, </w:t>
      </w:r>
      <w:r w:rsidRPr="00181BE3">
        <w:rPr>
          <w:i/>
          <w:iCs/>
        </w:rPr>
        <w:t>Opinia prawna na temat skutków prawnych orzeczenia Trybunału Konstytucyjnego w sprawie o sygn. akt K 3/21 dotyczącego niezgodności przepisów Traktatu o Unii Europejskiej z Konstytucją Rzeczypospolitej Polskiej w świetle prawa Unii Europejskiej</w:t>
      </w:r>
      <w:r w:rsidRPr="00181BE3">
        <w:t xml:space="preserve">, </w:t>
      </w:r>
      <w:r w:rsidR="00821B8A" w:rsidRPr="00181BE3">
        <w:t xml:space="preserve">2021, </w:t>
      </w:r>
      <w:r w:rsidRPr="00181BE3">
        <w:t>&lt; </w:t>
      </w:r>
      <w:hyperlink r:id="rId8" w:history="1">
        <w:r w:rsidRPr="00181BE3">
          <w:rPr>
            <w:rStyle w:val="Hipercze"/>
          </w:rPr>
          <w:t>https://www.</w:t>
        </w:r>
        <w:r w:rsidR="00821B8A" w:rsidRPr="00181BE3">
          <w:rPr>
            <w:rStyle w:val="Hipercze"/>
          </w:rPr>
          <w:br/>
        </w:r>
        <w:r w:rsidRPr="00181BE3">
          <w:rPr>
            <w:rStyle w:val="Hipercze"/>
          </w:rPr>
          <w:t>batory.org.pl/wp-content/uploads/2021/10/P.Bogdanowicz_Opinia-prawna_nt.skutow.orzeczeniaTK.ws_.TUE_-1.pdf </w:t>
        </w:r>
      </w:hyperlink>
      <w:r w:rsidRPr="00181BE3">
        <w:t>&gt;, [</w:t>
      </w:r>
      <w:proofErr w:type="spellStart"/>
      <w:r w:rsidRPr="00181BE3">
        <w:t>Accessed</w:t>
      </w:r>
      <w:proofErr w:type="spellEnd"/>
      <w:r w:rsidRPr="00181BE3">
        <w:t xml:space="preserve">: </w:t>
      </w:r>
      <w:proofErr w:type="spellStart"/>
      <w:r w:rsidRPr="00181BE3">
        <w:t>February</w:t>
      </w:r>
      <w:proofErr w:type="spellEnd"/>
      <w:r w:rsidRPr="00181BE3">
        <w:t xml:space="preserve"> 23, 2024].</w:t>
      </w:r>
    </w:p>
  </w:footnote>
  <w:footnote w:id="41">
    <w:p w14:paraId="6E038818" w14:textId="691862F9" w:rsidR="00394A40" w:rsidRPr="00394A40" w:rsidRDefault="00394A40">
      <w:pPr>
        <w:pStyle w:val="Tekstprzypisudolnego"/>
        <w:rPr>
          <w:lang w:val="en-GB"/>
        </w:rPr>
      </w:pPr>
      <w:r>
        <w:rPr>
          <w:rStyle w:val="Odwoanieprzypisudolnego"/>
        </w:rPr>
        <w:footnoteRef/>
      </w:r>
      <w:r w:rsidRPr="00394A40">
        <w:rPr>
          <w:lang w:val="en-GB"/>
        </w:rPr>
        <w:t xml:space="preserve"> </w:t>
      </w:r>
      <w:r>
        <w:rPr>
          <w:lang w:val="en-GB"/>
        </w:rPr>
        <w:t xml:space="preserve">Order of the Supreme Court of </w:t>
      </w:r>
      <w:r w:rsidR="00724F8B">
        <w:rPr>
          <w:lang w:val="en-GB"/>
        </w:rPr>
        <w:t xml:space="preserve">28 </w:t>
      </w:r>
      <w:r>
        <w:rPr>
          <w:lang w:val="en-GB"/>
        </w:rPr>
        <w:t xml:space="preserve">June 2023, I USK 326/22. See also: Resolution of the Supreme Court (7 judges) of </w:t>
      </w:r>
      <w:r w:rsidR="00724F8B">
        <w:rPr>
          <w:lang w:val="en-GB"/>
        </w:rPr>
        <w:t xml:space="preserve">17 </w:t>
      </w:r>
      <w:r>
        <w:rPr>
          <w:lang w:val="en-GB"/>
        </w:rPr>
        <w:t>December 2009, III PZP 2/09.</w:t>
      </w:r>
    </w:p>
  </w:footnote>
  <w:footnote w:id="42">
    <w:p w14:paraId="02F012FA" w14:textId="12B5E488" w:rsidR="003F282F" w:rsidRPr="003F282F" w:rsidRDefault="003F282F">
      <w:pPr>
        <w:pStyle w:val="Tekstprzypisudolnego"/>
        <w:rPr>
          <w:lang w:val="en-GB"/>
        </w:rPr>
      </w:pPr>
      <w:r>
        <w:rPr>
          <w:rStyle w:val="Odwoanieprzypisudolnego"/>
        </w:rPr>
        <w:footnoteRef/>
      </w:r>
      <w:r w:rsidRPr="003F282F">
        <w:rPr>
          <w:lang w:val="en-GB"/>
        </w:rPr>
        <w:t xml:space="preserve"> </w:t>
      </w:r>
      <w:r>
        <w:rPr>
          <w:lang w:val="en-GB"/>
        </w:rPr>
        <w:t xml:space="preserve">Order of the Supreme Court of </w:t>
      </w:r>
      <w:r w:rsidR="00724F8B">
        <w:rPr>
          <w:lang w:val="en-GB"/>
        </w:rPr>
        <w:t xml:space="preserve">24 </w:t>
      </w:r>
      <w:r>
        <w:rPr>
          <w:lang w:val="en-GB"/>
        </w:rPr>
        <w:t>June 2022, I CNP 126/22.</w:t>
      </w:r>
    </w:p>
  </w:footnote>
  <w:footnote w:id="43">
    <w:p w14:paraId="00C1CA1C" w14:textId="670CE788" w:rsidR="003576B2" w:rsidRPr="0049304B" w:rsidRDefault="003576B2" w:rsidP="003576B2">
      <w:pPr>
        <w:pStyle w:val="Tekstprzypisudolnego"/>
        <w:rPr>
          <w:lang w:val="en-GB"/>
        </w:rPr>
      </w:pPr>
      <w:r w:rsidRPr="0049304B">
        <w:rPr>
          <w:rStyle w:val="Odwoanieprzypisudolnego"/>
          <w:lang w:val="en-GB"/>
        </w:rPr>
        <w:footnoteRef/>
      </w:r>
      <w:r w:rsidRPr="0049304B">
        <w:rPr>
          <w:lang w:val="en-GB"/>
        </w:rPr>
        <w:t xml:space="preserve"> Action brought on 17 July 2023 – </w:t>
      </w:r>
      <w:r w:rsidRPr="00181BE3">
        <w:rPr>
          <w:i/>
          <w:iCs/>
          <w:lang w:val="en-GB"/>
        </w:rPr>
        <w:t>European Commission v Republic of Poland</w:t>
      </w:r>
      <w:r w:rsidRPr="0049304B">
        <w:rPr>
          <w:lang w:val="en-GB"/>
        </w:rPr>
        <w:t>, Case C-448/23, &lt; </w:t>
      </w:r>
      <w:hyperlink r:id="rId9" w:history="1">
        <w:r w:rsidRPr="0049304B">
          <w:rPr>
            <w:rStyle w:val="Hipercze"/>
            <w:lang w:val="en-GB"/>
          </w:rPr>
          <w:t>https://curia.</w:t>
        </w:r>
        <w:r w:rsidRPr="0049304B">
          <w:rPr>
            <w:rStyle w:val="Hipercze"/>
            <w:lang w:val="en-GB"/>
          </w:rPr>
          <w:br/>
          <w:t>europa.eu/juris/document/document.jsf?text=&amp;docid=276732&amp;pageIndex=0&amp;doclang=EN&amp;mode=lst&amp;dir=&amp;occ=first&amp;part=1&amp;cid=3553498 </w:t>
        </w:r>
      </w:hyperlink>
      <w:r w:rsidRPr="0049304B">
        <w:rPr>
          <w:lang w:val="en-GB"/>
        </w:rPr>
        <w:t>&gt;, [</w:t>
      </w:r>
      <w:r w:rsidR="00724F8B">
        <w:rPr>
          <w:lang w:val="en-GB"/>
        </w:rPr>
        <w:t>a</w:t>
      </w:r>
      <w:r w:rsidR="00724F8B" w:rsidRPr="0049304B">
        <w:rPr>
          <w:lang w:val="en-GB"/>
        </w:rPr>
        <w:t>ccessed</w:t>
      </w:r>
      <w:r w:rsidRPr="0049304B">
        <w:rPr>
          <w:lang w:val="en-GB"/>
        </w:rPr>
        <w:t>: February 23, 2024].</w:t>
      </w:r>
    </w:p>
  </w:footnote>
  <w:footnote w:id="44">
    <w:p w14:paraId="25733332" w14:textId="3090CE4A" w:rsidR="003576B2" w:rsidRPr="00BE0E44" w:rsidRDefault="003576B2" w:rsidP="003576B2">
      <w:pPr>
        <w:pStyle w:val="Tekstprzypisudolnego"/>
        <w:rPr>
          <w:lang w:val="en-GB"/>
        </w:rPr>
      </w:pPr>
      <w:r w:rsidRPr="0049304B">
        <w:rPr>
          <w:rStyle w:val="Odwoanieprzypisudolnego"/>
          <w:lang w:val="en-GB"/>
        </w:rPr>
        <w:footnoteRef/>
      </w:r>
      <w:r w:rsidRPr="0049304B">
        <w:rPr>
          <w:lang w:val="en-GB"/>
        </w:rPr>
        <w:t xml:space="preserve"> Action brought on </w:t>
      </w:r>
      <w:r>
        <w:rPr>
          <w:lang w:val="en-GB"/>
        </w:rPr>
        <w:t>17 July 2023…</w:t>
      </w:r>
    </w:p>
  </w:footnote>
  <w:footnote w:id="45">
    <w:p w14:paraId="11319998" w14:textId="2C63B4B3" w:rsidR="006211D9" w:rsidRPr="0049304B" w:rsidRDefault="006211D9" w:rsidP="006211D9">
      <w:pPr>
        <w:pStyle w:val="Tekstprzypisudolnego"/>
        <w:rPr>
          <w:lang w:val="en-GB"/>
        </w:rPr>
      </w:pPr>
      <w:r>
        <w:rPr>
          <w:rStyle w:val="Odwoanieprzypisudolnego"/>
        </w:rPr>
        <w:footnoteRef/>
      </w:r>
      <w:r>
        <w:rPr>
          <w:lang w:val="en-GB"/>
        </w:rPr>
        <w:t> </w:t>
      </w:r>
      <w:r w:rsidRPr="0049304B">
        <w:rPr>
          <w:lang w:val="en-GB"/>
        </w:rPr>
        <w:t>Judgment of the ECHR of 23</w:t>
      </w:r>
      <w:r w:rsidR="00724F8B" w:rsidRPr="00724F8B">
        <w:rPr>
          <w:lang w:val="en-GB"/>
        </w:rPr>
        <w:t xml:space="preserve"> </w:t>
      </w:r>
      <w:r w:rsidR="00724F8B" w:rsidRPr="0049304B">
        <w:rPr>
          <w:lang w:val="en-GB"/>
        </w:rPr>
        <w:t>November</w:t>
      </w:r>
      <w:r w:rsidRPr="0049304B">
        <w:rPr>
          <w:lang w:val="en-GB"/>
        </w:rPr>
        <w:t xml:space="preserve"> 2023, </w:t>
      </w:r>
      <w:r w:rsidRPr="00181BE3">
        <w:rPr>
          <w:i/>
          <w:iCs/>
          <w:lang w:val="en-GB"/>
        </w:rPr>
        <w:t>Wałęsa v Poland</w:t>
      </w:r>
      <w:r w:rsidRPr="0049304B">
        <w:rPr>
          <w:lang w:val="en-GB"/>
        </w:rPr>
        <w:t>, application no. 50849/21 and Judgment of the ECHR of 14</w:t>
      </w:r>
      <w:r w:rsidR="00724F8B" w:rsidRPr="00724F8B">
        <w:rPr>
          <w:lang w:val="en-GB"/>
        </w:rPr>
        <w:t xml:space="preserve"> </w:t>
      </w:r>
      <w:r w:rsidR="00724F8B" w:rsidRPr="0049304B">
        <w:rPr>
          <w:lang w:val="en-GB"/>
        </w:rPr>
        <w:t>December</w:t>
      </w:r>
      <w:r w:rsidRPr="0049304B">
        <w:rPr>
          <w:lang w:val="en-GB"/>
        </w:rPr>
        <w:t xml:space="preserve"> 2023, </w:t>
      </w:r>
      <w:r w:rsidRPr="00181BE3">
        <w:rPr>
          <w:i/>
          <w:iCs/>
          <w:lang w:val="en-GB"/>
        </w:rPr>
        <w:t>M.L. v Poland</w:t>
      </w:r>
      <w:r w:rsidRPr="0049304B">
        <w:rPr>
          <w:lang w:val="en-GB"/>
        </w:rPr>
        <w:t>, application no. 40119/21.</w:t>
      </w:r>
    </w:p>
  </w:footnote>
  <w:footnote w:id="46">
    <w:p w14:paraId="03454782" w14:textId="3FA0C058" w:rsidR="001C1195" w:rsidRPr="00181BE3" w:rsidRDefault="001C1195">
      <w:pPr>
        <w:pStyle w:val="Tekstprzypisudolnego"/>
        <w:rPr>
          <w:lang w:val="en-GB"/>
        </w:rPr>
      </w:pPr>
      <w:r>
        <w:rPr>
          <w:rStyle w:val="Odwoanieprzypisudolnego"/>
        </w:rPr>
        <w:footnoteRef/>
      </w:r>
      <w:r w:rsidRPr="00181BE3">
        <w:rPr>
          <w:lang w:val="en-GB"/>
        </w:rPr>
        <w:t xml:space="preserve"> M. Matczak, </w:t>
      </w:r>
      <w:r w:rsidRPr="00181BE3">
        <w:rPr>
          <w:i/>
          <w:iCs/>
          <w:lang w:val="en-GB"/>
        </w:rPr>
        <w:t>Poland’s Constitutional Crisis</w:t>
      </w:r>
      <w:r>
        <w:rPr>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1CF9"/>
    <w:multiLevelType w:val="hybridMultilevel"/>
    <w:tmpl w:val="7CF2D7CE"/>
    <w:lvl w:ilvl="0" w:tplc="4584338A">
      <w:start w:val="5"/>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D055E71"/>
    <w:multiLevelType w:val="hybridMultilevel"/>
    <w:tmpl w:val="8FC878F6"/>
    <w:lvl w:ilvl="0" w:tplc="95601BA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2F1457BD"/>
    <w:multiLevelType w:val="hybridMultilevel"/>
    <w:tmpl w:val="8C04E7FC"/>
    <w:lvl w:ilvl="0" w:tplc="E020DCC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3CF24F78"/>
    <w:multiLevelType w:val="hybridMultilevel"/>
    <w:tmpl w:val="4F4C8366"/>
    <w:lvl w:ilvl="0" w:tplc="7C1C9A2E">
      <w:start w:val="3"/>
      <w:numFmt w:val="bullet"/>
      <w:lvlText w:val="—"/>
      <w:lvlJc w:val="left"/>
      <w:pPr>
        <w:ind w:left="644" w:hanging="360"/>
      </w:pPr>
      <w:rPr>
        <w:rFonts w:ascii="Times New Roman" w:eastAsiaTheme="minorHAnsi" w:hAnsi="Times New Roman"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 w15:restartNumberingAfterBreak="0">
    <w:nsid w:val="3E4C3192"/>
    <w:multiLevelType w:val="hybridMultilevel"/>
    <w:tmpl w:val="8A8ED878"/>
    <w:lvl w:ilvl="0" w:tplc="8CBEB7E0">
      <w:start w:val="5"/>
      <w:numFmt w:val="bullet"/>
      <w:lvlText w:val="–"/>
      <w:lvlJc w:val="left"/>
      <w:pPr>
        <w:ind w:left="644" w:hanging="360"/>
      </w:pPr>
      <w:rPr>
        <w:rFonts w:ascii="Times New Roman" w:eastAsiaTheme="minorHAnsi" w:hAnsi="Times New Roman"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 w15:restartNumberingAfterBreak="0">
    <w:nsid w:val="3FDF05EB"/>
    <w:multiLevelType w:val="hybridMultilevel"/>
    <w:tmpl w:val="526ECAE6"/>
    <w:lvl w:ilvl="0" w:tplc="072C8F2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4C993CDF"/>
    <w:multiLevelType w:val="hybridMultilevel"/>
    <w:tmpl w:val="4CDC22C6"/>
    <w:lvl w:ilvl="0" w:tplc="511E686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581D2A4B"/>
    <w:multiLevelType w:val="hybridMultilevel"/>
    <w:tmpl w:val="8FC878F6"/>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8" w15:restartNumberingAfterBreak="0">
    <w:nsid w:val="734C7165"/>
    <w:multiLevelType w:val="hybridMultilevel"/>
    <w:tmpl w:val="CDC21778"/>
    <w:lvl w:ilvl="0" w:tplc="95601BA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797A0344"/>
    <w:multiLevelType w:val="multilevel"/>
    <w:tmpl w:val="7F70713A"/>
    <w:lvl w:ilvl="0">
      <w:start w:val="1"/>
      <w:numFmt w:val="upperRoman"/>
      <w:suff w:val="space"/>
      <w:lvlText w:val="Rozdział %1"/>
      <w:lvlJc w:val="left"/>
      <w:pPr>
        <w:ind w:left="1531" w:hanging="1531"/>
      </w:pPr>
      <w:rPr>
        <w:rFonts w:hint="default"/>
      </w:rPr>
    </w:lvl>
    <w:lvl w:ilvl="1">
      <w:start w:val="1"/>
      <w:numFmt w:val="decimal"/>
      <w:lvlRestart w:val="0"/>
      <w:suff w:val="space"/>
      <w:lvlText w:val="Art. %2."/>
      <w:lvlJc w:val="left"/>
      <w:pPr>
        <w:ind w:left="851" w:hanging="851"/>
      </w:pPr>
      <w:rPr>
        <w:rFonts w:ascii="Times New Roman" w:hAnsi="Times New Roman" w:hint="default"/>
        <w:b/>
        <w:i w:val="0"/>
        <w:sz w:val="24"/>
      </w:rPr>
    </w:lvl>
    <w:lvl w:ilvl="2">
      <w:start w:val="1"/>
      <w:numFmt w:val="decimal"/>
      <w:suff w:val="space"/>
      <w:lvlText w:val="%3."/>
      <w:lvlJc w:val="left"/>
      <w:pPr>
        <w:ind w:left="534" w:hanging="250"/>
      </w:pPr>
      <w:rPr>
        <w:rFonts w:hint="default"/>
      </w:rPr>
    </w:lvl>
    <w:lvl w:ilvl="3">
      <w:start w:val="1"/>
      <w:numFmt w:val="decimal"/>
      <w:suff w:val="space"/>
      <w:lvlText w:val="%4)"/>
      <w:lvlJc w:val="left"/>
      <w:pPr>
        <w:ind w:left="924" w:hanging="244"/>
      </w:pPr>
      <w:rPr>
        <w:rFonts w:hint="default"/>
      </w:rPr>
    </w:lvl>
    <w:lvl w:ilvl="4">
      <w:start w:val="1"/>
      <w:numFmt w:val="decimal"/>
      <w:suff w:val="space"/>
      <w:lvlText w:val="%3.%4.%5."/>
      <w:lvlJc w:val="left"/>
      <w:pPr>
        <w:ind w:left="1800" w:hanging="360"/>
      </w:pPr>
      <w:rPr>
        <w:rFonts w:hint="default"/>
      </w:rPr>
    </w:lvl>
    <w:lvl w:ilvl="5">
      <w:start w:val="1"/>
      <w:numFmt w:val="decimal"/>
      <w:lvlText w:val="%3.%4.%5.%6."/>
      <w:lvlJc w:val="left"/>
      <w:pPr>
        <w:ind w:left="2160" w:hanging="360"/>
      </w:pPr>
      <w:rPr>
        <w:rFonts w:hint="default"/>
      </w:rPr>
    </w:lvl>
    <w:lvl w:ilvl="6">
      <w:start w:val="1"/>
      <w:numFmt w:val="decimal"/>
      <w:lvlText w:val="%3.%4.%5.%6.%7."/>
      <w:lvlJc w:val="left"/>
      <w:pPr>
        <w:ind w:left="2520" w:hanging="360"/>
      </w:pPr>
      <w:rPr>
        <w:rFonts w:hint="default"/>
      </w:rPr>
    </w:lvl>
    <w:lvl w:ilvl="7">
      <w:start w:val="1"/>
      <w:numFmt w:val="decimal"/>
      <w:lvlText w:val="%3.%4.%5.%6.%7.%8."/>
      <w:lvlJc w:val="left"/>
      <w:pPr>
        <w:ind w:left="2880" w:hanging="360"/>
      </w:pPr>
      <w:rPr>
        <w:rFonts w:hint="default"/>
      </w:rPr>
    </w:lvl>
    <w:lvl w:ilvl="8">
      <w:start w:val="1"/>
      <w:numFmt w:val="decimal"/>
      <w:lvlText w:val="%3.%4.%5.%6.%7.%8.%9."/>
      <w:lvlJc w:val="left"/>
      <w:pPr>
        <w:ind w:left="3240" w:hanging="360"/>
      </w:pPr>
      <w:rPr>
        <w:rFonts w:hint="default"/>
      </w:rPr>
    </w:lvl>
  </w:abstractNum>
  <w:num w:numId="1" w16cid:durableId="96173499">
    <w:abstractNumId w:val="9"/>
  </w:num>
  <w:num w:numId="2" w16cid:durableId="664281745">
    <w:abstractNumId w:val="1"/>
  </w:num>
  <w:num w:numId="3" w16cid:durableId="1164395166">
    <w:abstractNumId w:val="7"/>
  </w:num>
  <w:num w:numId="4" w16cid:durableId="1703360996">
    <w:abstractNumId w:val="0"/>
  </w:num>
  <w:num w:numId="5" w16cid:durableId="252475815">
    <w:abstractNumId w:val="4"/>
  </w:num>
  <w:num w:numId="6" w16cid:durableId="1603605494">
    <w:abstractNumId w:val="8"/>
  </w:num>
  <w:num w:numId="7" w16cid:durableId="703210971">
    <w:abstractNumId w:val="5"/>
  </w:num>
  <w:num w:numId="8" w16cid:durableId="1721246004">
    <w:abstractNumId w:val="2"/>
  </w:num>
  <w:num w:numId="9" w16cid:durableId="354965254">
    <w:abstractNumId w:val="3"/>
  </w:num>
  <w:num w:numId="10" w16cid:durableId="1892224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70A"/>
    <w:rsid w:val="00001508"/>
    <w:rsid w:val="00014740"/>
    <w:rsid w:val="0001592C"/>
    <w:rsid w:val="000236E2"/>
    <w:rsid w:val="00030311"/>
    <w:rsid w:val="0003590D"/>
    <w:rsid w:val="000362DC"/>
    <w:rsid w:val="00066737"/>
    <w:rsid w:val="000725FC"/>
    <w:rsid w:val="00074C6F"/>
    <w:rsid w:val="00076E25"/>
    <w:rsid w:val="00081811"/>
    <w:rsid w:val="000A0485"/>
    <w:rsid w:val="000B26FF"/>
    <w:rsid w:val="000B46C9"/>
    <w:rsid w:val="000B57B2"/>
    <w:rsid w:val="000C226B"/>
    <w:rsid w:val="000C46EC"/>
    <w:rsid w:val="000C6059"/>
    <w:rsid w:val="000C6A06"/>
    <w:rsid w:val="000D23A9"/>
    <w:rsid w:val="000D29B2"/>
    <w:rsid w:val="000D7E49"/>
    <w:rsid w:val="000F0549"/>
    <w:rsid w:val="000F73C0"/>
    <w:rsid w:val="000F7A80"/>
    <w:rsid w:val="001017C5"/>
    <w:rsid w:val="0010284A"/>
    <w:rsid w:val="00107E6E"/>
    <w:rsid w:val="00113321"/>
    <w:rsid w:val="00115D5C"/>
    <w:rsid w:val="00131116"/>
    <w:rsid w:val="00154B19"/>
    <w:rsid w:val="001621CA"/>
    <w:rsid w:val="00181BE3"/>
    <w:rsid w:val="00181C39"/>
    <w:rsid w:val="0018414B"/>
    <w:rsid w:val="001A0F66"/>
    <w:rsid w:val="001A3E40"/>
    <w:rsid w:val="001A679A"/>
    <w:rsid w:val="001B05DA"/>
    <w:rsid w:val="001B0665"/>
    <w:rsid w:val="001C1195"/>
    <w:rsid w:val="001C59E3"/>
    <w:rsid w:val="001C60E2"/>
    <w:rsid w:val="001D0516"/>
    <w:rsid w:val="001D4C13"/>
    <w:rsid w:val="001D5021"/>
    <w:rsid w:val="001E2654"/>
    <w:rsid w:val="001E7E25"/>
    <w:rsid w:val="00200203"/>
    <w:rsid w:val="002027A2"/>
    <w:rsid w:val="00202C15"/>
    <w:rsid w:val="00206FC2"/>
    <w:rsid w:val="00226826"/>
    <w:rsid w:val="00234625"/>
    <w:rsid w:val="002353E5"/>
    <w:rsid w:val="0023715B"/>
    <w:rsid w:val="00245606"/>
    <w:rsid w:val="00246204"/>
    <w:rsid w:val="00246B66"/>
    <w:rsid w:val="00247111"/>
    <w:rsid w:val="00255047"/>
    <w:rsid w:val="00272B27"/>
    <w:rsid w:val="00275B04"/>
    <w:rsid w:val="002831BF"/>
    <w:rsid w:val="0028516B"/>
    <w:rsid w:val="00291CBC"/>
    <w:rsid w:val="00292BE0"/>
    <w:rsid w:val="0029647C"/>
    <w:rsid w:val="002A2401"/>
    <w:rsid w:val="002A43BB"/>
    <w:rsid w:val="002B29EA"/>
    <w:rsid w:val="002C009A"/>
    <w:rsid w:val="002C168B"/>
    <w:rsid w:val="002C683A"/>
    <w:rsid w:val="002D1E6F"/>
    <w:rsid w:val="002E27BF"/>
    <w:rsid w:val="002E50B0"/>
    <w:rsid w:val="00302BE1"/>
    <w:rsid w:val="003038A5"/>
    <w:rsid w:val="00321DBB"/>
    <w:rsid w:val="00324368"/>
    <w:rsid w:val="003305F6"/>
    <w:rsid w:val="00337C36"/>
    <w:rsid w:val="0034666C"/>
    <w:rsid w:val="00351B23"/>
    <w:rsid w:val="00352253"/>
    <w:rsid w:val="003576B2"/>
    <w:rsid w:val="003623E7"/>
    <w:rsid w:val="003646D3"/>
    <w:rsid w:val="00374168"/>
    <w:rsid w:val="0037466D"/>
    <w:rsid w:val="00374AA2"/>
    <w:rsid w:val="0037609C"/>
    <w:rsid w:val="00391FCA"/>
    <w:rsid w:val="00394384"/>
    <w:rsid w:val="00394389"/>
    <w:rsid w:val="00394A40"/>
    <w:rsid w:val="003A27ED"/>
    <w:rsid w:val="003A4430"/>
    <w:rsid w:val="003B02FD"/>
    <w:rsid w:val="003B2AFA"/>
    <w:rsid w:val="003C21DB"/>
    <w:rsid w:val="003C59E0"/>
    <w:rsid w:val="003D29D4"/>
    <w:rsid w:val="003D6718"/>
    <w:rsid w:val="003E0281"/>
    <w:rsid w:val="003E3D2F"/>
    <w:rsid w:val="003F282F"/>
    <w:rsid w:val="003F63D6"/>
    <w:rsid w:val="00402F42"/>
    <w:rsid w:val="00410D30"/>
    <w:rsid w:val="004130BC"/>
    <w:rsid w:val="00425132"/>
    <w:rsid w:val="00433C21"/>
    <w:rsid w:val="00433E12"/>
    <w:rsid w:val="00436D4A"/>
    <w:rsid w:val="0044110F"/>
    <w:rsid w:val="00443315"/>
    <w:rsid w:val="00443CE9"/>
    <w:rsid w:val="00443F05"/>
    <w:rsid w:val="00445201"/>
    <w:rsid w:val="0044574E"/>
    <w:rsid w:val="00453D34"/>
    <w:rsid w:val="00456DF1"/>
    <w:rsid w:val="00463BA9"/>
    <w:rsid w:val="004642A4"/>
    <w:rsid w:val="004836D7"/>
    <w:rsid w:val="00490194"/>
    <w:rsid w:val="0049304B"/>
    <w:rsid w:val="00496CD7"/>
    <w:rsid w:val="004B0033"/>
    <w:rsid w:val="004B75EA"/>
    <w:rsid w:val="004C069E"/>
    <w:rsid w:val="004C6239"/>
    <w:rsid w:val="004D4046"/>
    <w:rsid w:val="004E31CD"/>
    <w:rsid w:val="004E4210"/>
    <w:rsid w:val="004E4B31"/>
    <w:rsid w:val="004E5A6E"/>
    <w:rsid w:val="004F46B7"/>
    <w:rsid w:val="00502CCE"/>
    <w:rsid w:val="0051580F"/>
    <w:rsid w:val="00516603"/>
    <w:rsid w:val="00523A3E"/>
    <w:rsid w:val="00527334"/>
    <w:rsid w:val="00534BA8"/>
    <w:rsid w:val="00536764"/>
    <w:rsid w:val="00542A40"/>
    <w:rsid w:val="00543038"/>
    <w:rsid w:val="005433C7"/>
    <w:rsid w:val="00545DBD"/>
    <w:rsid w:val="005617A5"/>
    <w:rsid w:val="00563EE4"/>
    <w:rsid w:val="00585284"/>
    <w:rsid w:val="005954E7"/>
    <w:rsid w:val="005A3ADA"/>
    <w:rsid w:val="005B2C70"/>
    <w:rsid w:val="005E22CF"/>
    <w:rsid w:val="005F7633"/>
    <w:rsid w:val="006070E3"/>
    <w:rsid w:val="00607146"/>
    <w:rsid w:val="00607ABE"/>
    <w:rsid w:val="006151E1"/>
    <w:rsid w:val="006211D9"/>
    <w:rsid w:val="006249AD"/>
    <w:rsid w:val="0062702E"/>
    <w:rsid w:val="00632DAB"/>
    <w:rsid w:val="00632F2E"/>
    <w:rsid w:val="0064107E"/>
    <w:rsid w:val="00644C82"/>
    <w:rsid w:val="00650CBF"/>
    <w:rsid w:val="006718EC"/>
    <w:rsid w:val="00673C8C"/>
    <w:rsid w:val="006A1BE7"/>
    <w:rsid w:val="006A20DA"/>
    <w:rsid w:val="006A3E04"/>
    <w:rsid w:val="006B1775"/>
    <w:rsid w:val="006B5CF7"/>
    <w:rsid w:val="006B63E5"/>
    <w:rsid w:val="006C26B2"/>
    <w:rsid w:val="006C6686"/>
    <w:rsid w:val="006D0044"/>
    <w:rsid w:val="006D0170"/>
    <w:rsid w:val="006D2266"/>
    <w:rsid w:val="006D2E33"/>
    <w:rsid w:val="006E24C3"/>
    <w:rsid w:val="006E42A4"/>
    <w:rsid w:val="006F2285"/>
    <w:rsid w:val="006F3E19"/>
    <w:rsid w:val="006F4DAA"/>
    <w:rsid w:val="0070110B"/>
    <w:rsid w:val="0071566B"/>
    <w:rsid w:val="007201BC"/>
    <w:rsid w:val="007227B5"/>
    <w:rsid w:val="00724F8B"/>
    <w:rsid w:val="00752FD0"/>
    <w:rsid w:val="00753094"/>
    <w:rsid w:val="00753AF0"/>
    <w:rsid w:val="007649B9"/>
    <w:rsid w:val="00776DC7"/>
    <w:rsid w:val="00783C05"/>
    <w:rsid w:val="00787605"/>
    <w:rsid w:val="00791ECD"/>
    <w:rsid w:val="00794021"/>
    <w:rsid w:val="007A4EF6"/>
    <w:rsid w:val="007B2344"/>
    <w:rsid w:val="007B295A"/>
    <w:rsid w:val="007B59E2"/>
    <w:rsid w:val="007B6472"/>
    <w:rsid w:val="007C3A76"/>
    <w:rsid w:val="007C494A"/>
    <w:rsid w:val="007F0203"/>
    <w:rsid w:val="00800E52"/>
    <w:rsid w:val="00815769"/>
    <w:rsid w:val="00821B8A"/>
    <w:rsid w:val="00832947"/>
    <w:rsid w:val="0083579C"/>
    <w:rsid w:val="00850582"/>
    <w:rsid w:val="0085089D"/>
    <w:rsid w:val="00854D5B"/>
    <w:rsid w:val="0085544A"/>
    <w:rsid w:val="008642BF"/>
    <w:rsid w:val="008644D1"/>
    <w:rsid w:val="008750CB"/>
    <w:rsid w:val="00877C4B"/>
    <w:rsid w:val="008840F6"/>
    <w:rsid w:val="008902A2"/>
    <w:rsid w:val="008937BE"/>
    <w:rsid w:val="0089554C"/>
    <w:rsid w:val="008A00CA"/>
    <w:rsid w:val="008A0B31"/>
    <w:rsid w:val="008A2FCA"/>
    <w:rsid w:val="008B58E8"/>
    <w:rsid w:val="008C002F"/>
    <w:rsid w:val="00900BCD"/>
    <w:rsid w:val="00903490"/>
    <w:rsid w:val="00905B54"/>
    <w:rsid w:val="00906A72"/>
    <w:rsid w:val="009210C7"/>
    <w:rsid w:val="009233BC"/>
    <w:rsid w:val="00926D57"/>
    <w:rsid w:val="009365E4"/>
    <w:rsid w:val="0094243C"/>
    <w:rsid w:val="00950229"/>
    <w:rsid w:val="009575EC"/>
    <w:rsid w:val="0096055E"/>
    <w:rsid w:val="00985919"/>
    <w:rsid w:val="00990A32"/>
    <w:rsid w:val="00992181"/>
    <w:rsid w:val="009A090D"/>
    <w:rsid w:val="009A25E0"/>
    <w:rsid w:val="009C33EF"/>
    <w:rsid w:val="009D170A"/>
    <w:rsid w:val="009D497D"/>
    <w:rsid w:val="009D4EAE"/>
    <w:rsid w:val="009D5292"/>
    <w:rsid w:val="009F76A9"/>
    <w:rsid w:val="00A0162E"/>
    <w:rsid w:val="00A02904"/>
    <w:rsid w:val="00A0756B"/>
    <w:rsid w:val="00A30322"/>
    <w:rsid w:val="00A364D6"/>
    <w:rsid w:val="00A41630"/>
    <w:rsid w:val="00A72038"/>
    <w:rsid w:val="00A77879"/>
    <w:rsid w:val="00A831B7"/>
    <w:rsid w:val="00A853F6"/>
    <w:rsid w:val="00A903AE"/>
    <w:rsid w:val="00A911BA"/>
    <w:rsid w:val="00A92E99"/>
    <w:rsid w:val="00A940C2"/>
    <w:rsid w:val="00A97772"/>
    <w:rsid w:val="00AA7E1D"/>
    <w:rsid w:val="00AB5AB2"/>
    <w:rsid w:val="00AE3603"/>
    <w:rsid w:val="00AE5302"/>
    <w:rsid w:val="00AF6AF9"/>
    <w:rsid w:val="00AF7DDC"/>
    <w:rsid w:val="00B14B27"/>
    <w:rsid w:val="00B33297"/>
    <w:rsid w:val="00B348B5"/>
    <w:rsid w:val="00B47C00"/>
    <w:rsid w:val="00B50BF4"/>
    <w:rsid w:val="00B56703"/>
    <w:rsid w:val="00B7098C"/>
    <w:rsid w:val="00B747CD"/>
    <w:rsid w:val="00B77D25"/>
    <w:rsid w:val="00B81661"/>
    <w:rsid w:val="00B83135"/>
    <w:rsid w:val="00B87BE9"/>
    <w:rsid w:val="00B943C0"/>
    <w:rsid w:val="00BA06DA"/>
    <w:rsid w:val="00BA601C"/>
    <w:rsid w:val="00BB31AE"/>
    <w:rsid w:val="00BB57D1"/>
    <w:rsid w:val="00BB5B0B"/>
    <w:rsid w:val="00BB7E30"/>
    <w:rsid w:val="00BB7F4E"/>
    <w:rsid w:val="00BC36F0"/>
    <w:rsid w:val="00BE0E44"/>
    <w:rsid w:val="00BE28CB"/>
    <w:rsid w:val="00BF3F0A"/>
    <w:rsid w:val="00C338A5"/>
    <w:rsid w:val="00C359A6"/>
    <w:rsid w:val="00C37115"/>
    <w:rsid w:val="00C4076E"/>
    <w:rsid w:val="00C530EA"/>
    <w:rsid w:val="00C71A18"/>
    <w:rsid w:val="00C71A4B"/>
    <w:rsid w:val="00C743D2"/>
    <w:rsid w:val="00C74B48"/>
    <w:rsid w:val="00C82B60"/>
    <w:rsid w:val="00C82CFB"/>
    <w:rsid w:val="00C84FA1"/>
    <w:rsid w:val="00C862EA"/>
    <w:rsid w:val="00C900C5"/>
    <w:rsid w:val="00C92D99"/>
    <w:rsid w:val="00C94DC9"/>
    <w:rsid w:val="00C94F31"/>
    <w:rsid w:val="00CA0401"/>
    <w:rsid w:val="00CA0789"/>
    <w:rsid w:val="00CA49F8"/>
    <w:rsid w:val="00CB098B"/>
    <w:rsid w:val="00CB0F44"/>
    <w:rsid w:val="00CB4BFE"/>
    <w:rsid w:val="00CC5CB7"/>
    <w:rsid w:val="00CD0187"/>
    <w:rsid w:val="00CD1115"/>
    <w:rsid w:val="00CD4160"/>
    <w:rsid w:val="00CD739A"/>
    <w:rsid w:val="00CE2668"/>
    <w:rsid w:val="00CE3DEC"/>
    <w:rsid w:val="00CE6B10"/>
    <w:rsid w:val="00D00F59"/>
    <w:rsid w:val="00D04201"/>
    <w:rsid w:val="00D06229"/>
    <w:rsid w:val="00D10EA1"/>
    <w:rsid w:val="00D17FDF"/>
    <w:rsid w:val="00D23B43"/>
    <w:rsid w:val="00D32B47"/>
    <w:rsid w:val="00D41320"/>
    <w:rsid w:val="00D44CA7"/>
    <w:rsid w:val="00D51F0E"/>
    <w:rsid w:val="00D53AE2"/>
    <w:rsid w:val="00D5621A"/>
    <w:rsid w:val="00D63EE9"/>
    <w:rsid w:val="00D6737C"/>
    <w:rsid w:val="00D74E62"/>
    <w:rsid w:val="00D917D5"/>
    <w:rsid w:val="00D91D40"/>
    <w:rsid w:val="00D93205"/>
    <w:rsid w:val="00D9528D"/>
    <w:rsid w:val="00DA1693"/>
    <w:rsid w:val="00DA25BD"/>
    <w:rsid w:val="00DA4773"/>
    <w:rsid w:val="00DA5B5E"/>
    <w:rsid w:val="00DB4151"/>
    <w:rsid w:val="00DC021F"/>
    <w:rsid w:val="00DC185E"/>
    <w:rsid w:val="00DC7F78"/>
    <w:rsid w:val="00DD5B9C"/>
    <w:rsid w:val="00DE1D56"/>
    <w:rsid w:val="00DE579D"/>
    <w:rsid w:val="00DF00A9"/>
    <w:rsid w:val="00DF3F80"/>
    <w:rsid w:val="00E00089"/>
    <w:rsid w:val="00E00DC8"/>
    <w:rsid w:val="00E0603E"/>
    <w:rsid w:val="00E23F0A"/>
    <w:rsid w:val="00E2655C"/>
    <w:rsid w:val="00E31709"/>
    <w:rsid w:val="00E443B9"/>
    <w:rsid w:val="00E7658D"/>
    <w:rsid w:val="00E81416"/>
    <w:rsid w:val="00E964D8"/>
    <w:rsid w:val="00EB1482"/>
    <w:rsid w:val="00EC05DD"/>
    <w:rsid w:val="00ED5177"/>
    <w:rsid w:val="00ED588D"/>
    <w:rsid w:val="00EE50C7"/>
    <w:rsid w:val="00EF0EDB"/>
    <w:rsid w:val="00EF2952"/>
    <w:rsid w:val="00EF3712"/>
    <w:rsid w:val="00EF3CAD"/>
    <w:rsid w:val="00EF573D"/>
    <w:rsid w:val="00F106BB"/>
    <w:rsid w:val="00F13DC7"/>
    <w:rsid w:val="00F34092"/>
    <w:rsid w:val="00F37CF2"/>
    <w:rsid w:val="00F37E66"/>
    <w:rsid w:val="00F435A7"/>
    <w:rsid w:val="00F46F95"/>
    <w:rsid w:val="00F53EBF"/>
    <w:rsid w:val="00F5407D"/>
    <w:rsid w:val="00F60112"/>
    <w:rsid w:val="00F63CDE"/>
    <w:rsid w:val="00F649E3"/>
    <w:rsid w:val="00F66F47"/>
    <w:rsid w:val="00F70EE7"/>
    <w:rsid w:val="00F724A8"/>
    <w:rsid w:val="00F754CC"/>
    <w:rsid w:val="00F76E68"/>
    <w:rsid w:val="00F80C28"/>
    <w:rsid w:val="00F80D28"/>
    <w:rsid w:val="00F84EED"/>
    <w:rsid w:val="00F85737"/>
    <w:rsid w:val="00F864D7"/>
    <w:rsid w:val="00F9074D"/>
    <w:rsid w:val="00F92324"/>
    <w:rsid w:val="00F96B4B"/>
    <w:rsid w:val="00FB4911"/>
    <w:rsid w:val="00FB5250"/>
    <w:rsid w:val="00FC2784"/>
    <w:rsid w:val="00FC512A"/>
    <w:rsid w:val="00FC616A"/>
    <w:rsid w:val="00FD51DC"/>
    <w:rsid w:val="00FD5A35"/>
    <w:rsid w:val="00FE1A0F"/>
    <w:rsid w:val="00FE290F"/>
    <w:rsid w:val="00FE2D12"/>
    <w:rsid w:val="00FE4B8C"/>
    <w:rsid w:val="00FE4B98"/>
    <w:rsid w:val="00FF0A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BF675"/>
  <w15:chartTrackingRefBased/>
  <w15:docId w15:val="{098ECFFD-404F-4661-990B-F0E5A732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00CA"/>
    <w:pPr>
      <w:spacing w:after="120" w:line="360" w:lineRule="auto"/>
      <w:jc w:val="both"/>
    </w:pPr>
    <w:rPr>
      <w:rFonts w:ascii="Times New Roman" w:hAnsi="Times New Roman"/>
    </w:rPr>
  </w:style>
  <w:style w:type="paragraph" w:styleId="Nagwek1">
    <w:name w:val="heading 1"/>
    <w:basedOn w:val="Normalny"/>
    <w:next w:val="Normalny"/>
    <w:link w:val="Nagwek1Znak"/>
    <w:uiPriority w:val="9"/>
    <w:qFormat/>
    <w:rsid w:val="00394384"/>
    <w:pPr>
      <w:keepNext/>
      <w:keepLines/>
      <w:jc w:val="left"/>
      <w:outlineLvl w:val="0"/>
    </w:pPr>
    <w:rPr>
      <w:rFonts w:eastAsiaTheme="majorEastAsia" w:cstheme="majorBidi"/>
      <w:b/>
      <w:sz w:val="32"/>
      <w:szCs w:val="32"/>
    </w:rPr>
  </w:style>
  <w:style w:type="paragraph" w:styleId="Nagwek2">
    <w:name w:val="heading 2"/>
    <w:basedOn w:val="NormalIndented"/>
    <w:next w:val="Normalny"/>
    <w:link w:val="Nagwek2Znak"/>
    <w:uiPriority w:val="9"/>
    <w:unhideWhenUsed/>
    <w:qFormat/>
    <w:rsid w:val="00394384"/>
    <w:pPr>
      <w:spacing w:line="288" w:lineRule="auto"/>
      <w:jc w:val="left"/>
      <w:outlineLvl w:val="1"/>
    </w:pPr>
    <w:rPr>
      <w:b/>
      <w:szCs w:val="26"/>
    </w:rPr>
  </w:style>
  <w:style w:type="paragraph" w:styleId="Nagwek3">
    <w:name w:val="heading 3"/>
    <w:basedOn w:val="Normalny"/>
    <w:next w:val="Normalny"/>
    <w:link w:val="Nagwek3Znak"/>
    <w:uiPriority w:val="9"/>
    <w:unhideWhenUsed/>
    <w:qFormat/>
    <w:rsid w:val="001C59E3"/>
    <w:pPr>
      <w:keepNext/>
      <w:keepLines/>
      <w:spacing w:before="40" w:after="0"/>
      <w:jc w:val="center"/>
      <w:outlineLvl w:val="2"/>
    </w:pPr>
    <w:rPr>
      <w:rFonts w:eastAsiaTheme="majorEastAsia" w:cstheme="majorBidi"/>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basedOn w:val="Normalny"/>
    <w:next w:val="Normalny"/>
    <w:link w:val="PodtytuZnak"/>
    <w:uiPriority w:val="11"/>
    <w:qFormat/>
    <w:rsid w:val="001C59E3"/>
    <w:pPr>
      <w:numPr>
        <w:ilvl w:val="1"/>
      </w:numPr>
      <w:spacing w:after="400"/>
      <w:jc w:val="center"/>
    </w:pPr>
    <w:rPr>
      <w:rFonts w:eastAsiaTheme="minorEastAsia"/>
      <w:spacing w:val="15"/>
      <w:sz w:val="24"/>
    </w:rPr>
  </w:style>
  <w:style w:type="character" w:customStyle="1" w:styleId="PodtytuZnak">
    <w:name w:val="Podtytuł Znak"/>
    <w:basedOn w:val="Domylnaczcionkaakapitu"/>
    <w:link w:val="Podtytu"/>
    <w:uiPriority w:val="11"/>
    <w:rsid w:val="001C59E3"/>
    <w:rPr>
      <w:rFonts w:ascii="Times New Roman" w:eastAsiaTheme="minorEastAsia" w:hAnsi="Times New Roman"/>
      <w:spacing w:val="15"/>
      <w:sz w:val="24"/>
    </w:rPr>
  </w:style>
  <w:style w:type="paragraph" w:styleId="Tytu">
    <w:name w:val="Title"/>
    <w:basedOn w:val="Normalny"/>
    <w:next w:val="Normalny"/>
    <w:link w:val="TytuZnak"/>
    <w:uiPriority w:val="10"/>
    <w:qFormat/>
    <w:rsid w:val="001C59E3"/>
    <w:pPr>
      <w:spacing w:line="240" w:lineRule="auto"/>
      <w:contextualSpacing/>
      <w:jc w:val="center"/>
    </w:pPr>
    <w:rPr>
      <w:rFonts w:eastAsiaTheme="majorEastAsia" w:cstheme="majorBidi"/>
      <w:b/>
      <w:spacing w:val="-10"/>
      <w:kern w:val="28"/>
      <w:sz w:val="40"/>
      <w:szCs w:val="56"/>
    </w:rPr>
  </w:style>
  <w:style w:type="character" w:customStyle="1" w:styleId="TytuZnak">
    <w:name w:val="Tytuł Znak"/>
    <w:basedOn w:val="Domylnaczcionkaakapitu"/>
    <w:link w:val="Tytu"/>
    <w:uiPriority w:val="10"/>
    <w:rsid w:val="001C59E3"/>
    <w:rPr>
      <w:rFonts w:ascii="Times New Roman" w:eastAsiaTheme="majorEastAsia" w:hAnsi="Times New Roman" w:cstheme="majorBidi"/>
      <w:b/>
      <w:spacing w:val="-10"/>
      <w:kern w:val="28"/>
      <w:sz w:val="40"/>
      <w:szCs w:val="56"/>
    </w:rPr>
  </w:style>
  <w:style w:type="character" w:customStyle="1" w:styleId="Nagwek1Znak">
    <w:name w:val="Nagłówek 1 Znak"/>
    <w:basedOn w:val="Domylnaczcionkaakapitu"/>
    <w:link w:val="Nagwek1"/>
    <w:uiPriority w:val="9"/>
    <w:rsid w:val="00394384"/>
    <w:rPr>
      <w:rFonts w:ascii="Times New Roman" w:eastAsiaTheme="majorEastAsia" w:hAnsi="Times New Roman" w:cstheme="majorBidi"/>
      <w:b/>
      <w:sz w:val="32"/>
      <w:szCs w:val="32"/>
    </w:rPr>
  </w:style>
  <w:style w:type="character" w:customStyle="1" w:styleId="Nagwek3Znak">
    <w:name w:val="Nagłówek 3 Znak"/>
    <w:basedOn w:val="Domylnaczcionkaakapitu"/>
    <w:link w:val="Nagwek3"/>
    <w:uiPriority w:val="9"/>
    <w:rsid w:val="001C59E3"/>
    <w:rPr>
      <w:rFonts w:ascii="Times New Roman" w:eastAsiaTheme="majorEastAsia" w:hAnsi="Times New Roman" w:cstheme="majorBidi"/>
      <w:b/>
      <w:szCs w:val="24"/>
    </w:rPr>
  </w:style>
  <w:style w:type="character" w:customStyle="1" w:styleId="Nagwek2Znak">
    <w:name w:val="Nagłówek 2 Znak"/>
    <w:basedOn w:val="Domylnaczcionkaakapitu"/>
    <w:link w:val="Nagwek2"/>
    <w:uiPriority w:val="9"/>
    <w:rsid w:val="00394384"/>
    <w:rPr>
      <w:rFonts w:ascii="Times New Roman" w:hAnsi="Times New Roman"/>
      <w:b/>
      <w:szCs w:val="26"/>
      <w:lang w:val="en-GB"/>
    </w:rPr>
  </w:style>
  <w:style w:type="paragraph" w:styleId="Akapitzlist">
    <w:name w:val="List Paragraph"/>
    <w:basedOn w:val="Normalny"/>
    <w:uiPriority w:val="34"/>
    <w:qFormat/>
    <w:rsid w:val="00CE6B10"/>
    <w:pPr>
      <w:spacing w:line="288" w:lineRule="auto"/>
      <w:ind w:left="720"/>
      <w:jc w:val="left"/>
    </w:pPr>
  </w:style>
  <w:style w:type="paragraph" w:customStyle="1" w:styleId="NormalIndented">
    <w:name w:val="Normal Indented"/>
    <w:basedOn w:val="Normalny"/>
    <w:link w:val="NormalIndentedChar"/>
    <w:qFormat/>
    <w:rsid w:val="006D2E33"/>
    <w:pPr>
      <w:ind w:firstLine="284"/>
    </w:pPr>
    <w:rPr>
      <w:lang w:val="en-GB"/>
    </w:rPr>
  </w:style>
  <w:style w:type="character" w:customStyle="1" w:styleId="NormalIndentedChar">
    <w:name w:val="Normal Indented Char"/>
    <w:basedOn w:val="Domylnaczcionkaakapitu"/>
    <w:link w:val="NormalIndented"/>
    <w:rsid w:val="006D2E33"/>
    <w:rPr>
      <w:rFonts w:ascii="Times New Roman" w:hAnsi="Times New Roman"/>
      <w:lang w:val="en-GB"/>
    </w:rPr>
  </w:style>
  <w:style w:type="paragraph" w:styleId="Cytat">
    <w:name w:val="Quote"/>
    <w:basedOn w:val="Normalny"/>
    <w:next w:val="Normalny"/>
    <w:link w:val="CytatZnak"/>
    <w:uiPriority w:val="29"/>
    <w:qFormat/>
    <w:rsid w:val="007227B5"/>
    <w:pPr>
      <w:spacing w:after="160"/>
      <w:ind w:left="284" w:right="284"/>
    </w:pPr>
    <w:rPr>
      <w:iCs/>
      <w:sz w:val="20"/>
    </w:rPr>
  </w:style>
  <w:style w:type="character" w:customStyle="1" w:styleId="CytatZnak">
    <w:name w:val="Cytat Znak"/>
    <w:basedOn w:val="Domylnaczcionkaakapitu"/>
    <w:link w:val="Cytat"/>
    <w:uiPriority w:val="29"/>
    <w:rsid w:val="007227B5"/>
    <w:rPr>
      <w:rFonts w:ascii="Times New Roman" w:hAnsi="Times New Roman"/>
      <w:iCs/>
      <w:sz w:val="20"/>
    </w:rPr>
  </w:style>
  <w:style w:type="paragraph" w:styleId="Tekstprzypisudolnego">
    <w:name w:val="footnote text"/>
    <w:basedOn w:val="Normalny"/>
    <w:link w:val="TekstprzypisudolnegoZnak"/>
    <w:uiPriority w:val="99"/>
    <w:unhideWhenUsed/>
    <w:rsid w:val="00D0622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D06229"/>
    <w:rPr>
      <w:rFonts w:ascii="Times New Roman" w:hAnsi="Times New Roman"/>
      <w:sz w:val="20"/>
      <w:szCs w:val="20"/>
    </w:rPr>
  </w:style>
  <w:style w:type="character" w:styleId="Odwoanieprzypisudolnego">
    <w:name w:val="footnote reference"/>
    <w:basedOn w:val="Domylnaczcionkaakapitu"/>
    <w:uiPriority w:val="99"/>
    <w:semiHidden/>
    <w:unhideWhenUsed/>
    <w:rsid w:val="00D06229"/>
    <w:rPr>
      <w:vertAlign w:val="superscript"/>
    </w:rPr>
  </w:style>
  <w:style w:type="character" w:styleId="Hipercze">
    <w:name w:val="Hyperlink"/>
    <w:basedOn w:val="Domylnaczcionkaakapitu"/>
    <w:uiPriority w:val="99"/>
    <w:unhideWhenUsed/>
    <w:rsid w:val="0023715B"/>
    <w:rPr>
      <w:color w:val="0563C1" w:themeColor="hyperlink"/>
      <w:u w:val="single"/>
    </w:rPr>
  </w:style>
  <w:style w:type="character" w:styleId="Nierozpoznanawzmianka">
    <w:name w:val="Unresolved Mention"/>
    <w:basedOn w:val="Domylnaczcionkaakapitu"/>
    <w:uiPriority w:val="99"/>
    <w:semiHidden/>
    <w:unhideWhenUsed/>
    <w:rsid w:val="0023715B"/>
    <w:rPr>
      <w:color w:val="605E5C"/>
      <w:shd w:val="clear" w:color="auto" w:fill="E1DFDD"/>
    </w:rPr>
  </w:style>
  <w:style w:type="character" w:styleId="UyteHipercze">
    <w:name w:val="FollowedHyperlink"/>
    <w:basedOn w:val="Domylnaczcionkaakapitu"/>
    <w:uiPriority w:val="99"/>
    <w:semiHidden/>
    <w:unhideWhenUsed/>
    <w:rsid w:val="0023715B"/>
    <w:rPr>
      <w:color w:val="954F72" w:themeColor="followedHyperlink"/>
      <w:u w:val="single"/>
    </w:rPr>
  </w:style>
  <w:style w:type="paragraph" w:styleId="Nagwek">
    <w:name w:val="header"/>
    <w:basedOn w:val="Normalny"/>
    <w:link w:val="NagwekZnak"/>
    <w:uiPriority w:val="99"/>
    <w:unhideWhenUsed/>
    <w:rsid w:val="009C33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33EF"/>
    <w:rPr>
      <w:rFonts w:ascii="Times New Roman" w:hAnsi="Times New Roman"/>
    </w:rPr>
  </w:style>
  <w:style w:type="paragraph" w:styleId="Stopka">
    <w:name w:val="footer"/>
    <w:basedOn w:val="Normalny"/>
    <w:link w:val="StopkaZnak"/>
    <w:uiPriority w:val="99"/>
    <w:unhideWhenUsed/>
    <w:rsid w:val="009C33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33EF"/>
    <w:rPr>
      <w:rFonts w:ascii="Times New Roman" w:hAnsi="Times New Roman"/>
    </w:rPr>
  </w:style>
  <w:style w:type="paragraph" w:styleId="Bezodstpw">
    <w:name w:val="No Spacing"/>
    <w:uiPriority w:val="1"/>
    <w:qFormat/>
    <w:rsid w:val="008A0B31"/>
    <w:pPr>
      <w:spacing w:after="0" w:line="240" w:lineRule="auto"/>
      <w:jc w:val="both"/>
    </w:pPr>
    <w:rPr>
      <w:rFonts w:ascii="Times New Roman" w:hAnsi="Times New Roman"/>
    </w:rPr>
  </w:style>
  <w:style w:type="paragraph" w:styleId="Poprawka">
    <w:name w:val="Revision"/>
    <w:hidden/>
    <w:uiPriority w:val="99"/>
    <w:semiHidden/>
    <w:rsid w:val="00BE28CB"/>
    <w:pPr>
      <w:spacing w:after="0" w:line="240" w:lineRule="auto"/>
    </w:pPr>
    <w:rPr>
      <w:rFonts w:ascii="Times New Roman" w:hAnsi="Times New Roman"/>
    </w:rPr>
  </w:style>
  <w:style w:type="character" w:styleId="Odwoaniedokomentarza">
    <w:name w:val="annotation reference"/>
    <w:basedOn w:val="Domylnaczcionkaakapitu"/>
    <w:uiPriority w:val="99"/>
    <w:semiHidden/>
    <w:unhideWhenUsed/>
    <w:rsid w:val="002D1E6F"/>
    <w:rPr>
      <w:sz w:val="16"/>
      <w:szCs w:val="16"/>
    </w:rPr>
  </w:style>
  <w:style w:type="paragraph" w:styleId="Tekstkomentarza">
    <w:name w:val="annotation text"/>
    <w:basedOn w:val="Normalny"/>
    <w:link w:val="TekstkomentarzaZnak"/>
    <w:uiPriority w:val="99"/>
    <w:semiHidden/>
    <w:unhideWhenUsed/>
    <w:rsid w:val="002D1E6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1E6F"/>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2D1E6F"/>
    <w:rPr>
      <w:b/>
      <w:bCs/>
    </w:rPr>
  </w:style>
  <w:style w:type="character" w:customStyle="1" w:styleId="TematkomentarzaZnak">
    <w:name w:val="Temat komentarza Znak"/>
    <w:basedOn w:val="TekstkomentarzaZnak"/>
    <w:link w:val="Tematkomentarza"/>
    <w:uiPriority w:val="99"/>
    <w:semiHidden/>
    <w:rsid w:val="002D1E6F"/>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onnect-europe.eu/blog/koncewicz-polish-constitutional-court/" TargetMode="External"/><Relationship Id="rId13" Type="http://schemas.openxmlformats.org/officeDocument/2006/relationships/hyperlink" Target="https://ipo.trybunal.gov.pl/ipo/dok?dok=f8601baa-62e3-485e-9990-9965db55654c%2FK_7_21_pg_2022_01_13_ADO.pdf" TargetMode="External"/><Relationship Id="rId3" Type="http://schemas.openxmlformats.org/officeDocument/2006/relationships/settings" Target="settings.xml"/><Relationship Id="rId7" Type="http://schemas.openxmlformats.org/officeDocument/2006/relationships/hyperlink" Target="https://www.batory.org.pl/wp-content/uploads/2021/10/P.Bogdanowicz_Opinia-prawna_nt.skutow.orzeczeniaTK.ws_.TUE_-1.pdf&#160;" TargetMode="External"/><Relationship Id="rId12" Type="http://schemas.openxmlformats.org/officeDocument/2006/relationships/hyperlink" Target="https://ipo.trybunal.gov.pl/ipo/dok?dok=F1225335688%2FK_3_21_wns_2021_03_29_ADO.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ria.europa.eu/juris/document/document.jsf?text=&amp;docid=276732&amp;pageIndex=0&amp;doclang=EN&amp;mode=lst&amp;dir=&amp;occ=first&amp;part=1&amp;cid=3553498" TargetMode="External"/><Relationship Id="rId5" Type="http://schemas.openxmlformats.org/officeDocument/2006/relationships/footnotes" Target="footnotes.xml"/><Relationship Id="rId15" Type="http://schemas.openxmlformats.org/officeDocument/2006/relationships/hyperlink" Target="https://ipo.trybunal.gov.pl/ipo/dok?dok=124186a3-1771-4e05-85c2-b9d09e8ca6ea%2FK_6_21_wns_2021_07_27_ADO.pdf" TargetMode="External"/><Relationship Id="rId10" Type="http://schemas.openxmlformats.org/officeDocument/2006/relationships/hyperlink" Target="https://www.rp.pl/sady-i-trybunaly/art39394591-jak-to-bylo-z-sedziami-dublerami-w-trybunale-konstytucyjnym%20" TargetMode="External"/><Relationship Id="rId4" Type="http://schemas.openxmlformats.org/officeDocument/2006/relationships/webSettings" Target="webSettings.xml"/><Relationship Id="rId9" Type="http://schemas.openxmlformats.org/officeDocument/2006/relationships/hyperlink" Target="https://monitorkonstytucyjny.eu/wp-content/uploads/2018/07/Matczak_Polands-Constitutional-Crisis-Facts-and-interpretations_0.pdf%20" TargetMode="External"/><Relationship Id="rId14" Type="http://schemas.openxmlformats.org/officeDocument/2006/relationships/hyperlink" Target="https://ipo.trybunal.gov.pl/ipo/dok?dok=f8601baa-62e3-485e-9990-9965db55654c%2FK_7_21_pg_2022_01_13_ADO.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batory.org.pl/wp-content/uploads/2021/10/P.Bogdanowicz_Opinia-prawna_nt.skutow.orzeczeniaTK.ws_.TUE_-1.pdf&#160;" TargetMode="External"/><Relationship Id="rId3" Type="http://schemas.openxmlformats.org/officeDocument/2006/relationships/hyperlink" Target="https://reconnect-europe.eu/blog/koncewicz-polish-constitutional-court/&#160;" TargetMode="External"/><Relationship Id="rId7" Type="http://schemas.openxmlformats.org/officeDocument/2006/relationships/hyperlink" Target="https://ipo.trybunal.gov.pl/ipo/dok?dok=f8601baa-62e3-485e-9990-9965db55654c%2FK_7_21_pg_2022_01_13_ADO.pdf" TargetMode="External"/><Relationship Id="rId2" Type="http://schemas.openxmlformats.org/officeDocument/2006/relationships/hyperlink" Target="https://monitorkonstytucyjny.eu/wp-content/uploads/2018/07/Matczak_Polands-Constitutional-Crisis-Facts-and-interpretations_0.pdf&#160;" TargetMode="External"/><Relationship Id="rId1" Type="http://schemas.openxmlformats.org/officeDocument/2006/relationships/hyperlink" Target="https://www.rp.pl/sady-i-trybunaly/art39394591-jak-to-bylo-z-sedziami-dublerami-w-trybunale-konstytucyjnym" TargetMode="External"/><Relationship Id="rId6" Type="http://schemas.openxmlformats.org/officeDocument/2006/relationships/hyperlink" Target="https://ipo.trybunal.gov.pl/ipo/dok?dok=8d7ecce7-c7a5-433c-b4b9-0a92f1e301d5%2FK_7_21_wns_2021_11_09_ADO.pdf" TargetMode="External"/><Relationship Id="rId5" Type="http://schemas.openxmlformats.org/officeDocument/2006/relationships/hyperlink" Target="https://ipo.trybunal.gov.pl/ipo/dok?dok=124186a3-1771-4e05-85c2-b9d09e8ca6ea%2FK_6_21_wns_2021_07_27_ADO.pdf" TargetMode="External"/><Relationship Id="rId4" Type="http://schemas.openxmlformats.org/officeDocument/2006/relationships/hyperlink" Target="https://ipo.trybunal.gov.pl/ipo/dok?dok=F1225335688%2FK_3_21_wns_2021_03_29_ADO.pdf" TargetMode="External"/><Relationship Id="rId9" Type="http://schemas.openxmlformats.org/officeDocument/2006/relationships/hyperlink" Target="https://curia.europa.eu/juris/document/document.jsf?text=&amp;docid=276732&amp;pageIndex=0&amp;doclang=EN&amp;mode=lst&amp;dir=&amp;occ=first&amp;part=1&amp;cid=3553498&#16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5288</Words>
  <Characters>28878</Characters>
  <Application>Microsoft Office Word</Application>
  <DocSecurity>0</DocSecurity>
  <Lines>390</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Czop</dc:creator>
  <cp:keywords/>
  <dc:description/>
  <cp:lastModifiedBy>Florczak-Wątor Monika</cp:lastModifiedBy>
  <cp:revision>4</cp:revision>
  <cp:lastPrinted>2024-02-23T11:47:00Z</cp:lastPrinted>
  <dcterms:created xsi:type="dcterms:W3CDTF">2024-03-22T23:12:00Z</dcterms:created>
  <dcterms:modified xsi:type="dcterms:W3CDTF">2024-03-22T23:13:00Z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d8a9eae0e2d701ec4d002061b7a30e7670ea75e7da49e575c83d59878810af15</vt:lpwstr>
  </property>
</Properties>
</file>