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2E0C0CF" w:rsidR="00C61928" w:rsidRDefault="00B4540E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CF2894">
        <w:rPr>
          <w:rFonts w:ascii="Times New Roman" w:eastAsia="Times New Roman" w:hAnsi="Times New Roman" w:cs="Times New Roman"/>
          <w:i/>
          <w:iCs/>
          <w:sz w:val="28"/>
          <w:szCs w:val="28"/>
        </w:rPr>
        <w:t>Avramenko</w:t>
      </w:r>
      <w:proofErr w:type="spellEnd"/>
      <w:r w:rsidRPr="00CF28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F2894">
        <w:rPr>
          <w:rFonts w:ascii="Times New Roman" w:eastAsia="Times New Roman" w:hAnsi="Times New Roman" w:cs="Times New Roman"/>
          <w:i/>
          <w:iCs/>
          <w:sz w:val="28"/>
          <w:szCs w:val="28"/>
        </w:rPr>
        <w:t>Tetiana</w:t>
      </w:r>
      <w:proofErr w:type="spellEnd"/>
    </w:p>
    <w:p w14:paraId="73519166" w14:textId="77777777" w:rsidR="00A67D34" w:rsidRPr="00CF2894" w:rsidRDefault="00A67D34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0000002" w14:textId="1B43EBD8" w:rsidR="00C61928" w:rsidRDefault="00B454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Reform</w:t>
      </w:r>
      <w:proofErr w:type="spellEnd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 xml:space="preserve"> the </w:t>
      </w: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judicial</w:t>
      </w:r>
      <w:proofErr w:type="spellEnd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system</w:t>
      </w:r>
      <w:proofErr w:type="spellEnd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in</w:t>
      </w:r>
      <w:proofErr w:type="spellEnd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Ukraine</w:t>
      </w:r>
      <w:proofErr w:type="spellEnd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as</w:t>
      </w:r>
      <w:proofErr w:type="spellEnd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prerequisite</w:t>
      </w:r>
      <w:proofErr w:type="spellEnd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proofErr w:type="spellEnd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joining</w:t>
      </w:r>
      <w:proofErr w:type="spellEnd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 xml:space="preserve"> the EU: </w:t>
      </w: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status</w:t>
      </w:r>
      <w:proofErr w:type="spellEnd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proofErr w:type="spellEnd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key</w:t>
      </w:r>
      <w:proofErr w:type="spellEnd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894">
        <w:rPr>
          <w:rFonts w:ascii="Times New Roman" w:eastAsia="Times New Roman" w:hAnsi="Times New Roman" w:cs="Times New Roman"/>
          <w:b/>
          <w:sz w:val="28"/>
          <w:szCs w:val="28"/>
        </w:rPr>
        <w:t>issues</w:t>
      </w:r>
      <w:proofErr w:type="spellEnd"/>
    </w:p>
    <w:p w14:paraId="17BB85A1" w14:textId="77777777" w:rsidR="00A67D34" w:rsidRPr="00CF2894" w:rsidRDefault="00A67D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6F66D9C" w:rsidR="00C61928" w:rsidRDefault="00B454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="00CF2894">
        <w:rPr>
          <w:rFonts w:ascii="Times New Roman" w:eastAsia="Times New Roman" w:hAnsi="Times New Roman" w:cs="Times New Roman"/>
          <w:sz w:val="28"/>
          <w:szCs w:val="28"/>
          <w:lang w:val="en-GB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independence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marked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beginning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country</w:t>
      </w:r>
      <w:proofErr w:type="spellEnd"/>
      <w:r w:rsidR="00CF2894">
        <w:rPr>
          <w:rFonts w:ascii="Times New Roman" w:eastAsia="Times New Roman" w:hAnsi="Times New Roman" w:cs="Times New Roman"/>
          <w:sz w:val="28"/>
          <w:szCs w:val="28"/>
          <w:lang w:val="en-GB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integration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="00CF2894">
        <w:rPr>
          <w:rFonts w:ascii="Times New Roman" w:eastAsia="Times New Roman" w:hAnsi="Times New Roman" w:cs="Times New Roman"/>
          <w:sz w:val="28"/>
          <w:szCs w:val="28"/>
          <w:lang w:val="en-GB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legislation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adapted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EU </w:t>
      </w:r>
      <w:proofErr w:type="spellStart"/>
      <w:r w:rsidRPr="00CF2894">
        <w:rPr>
          <w:rFonts w:ascii="Times New Roman" w:eastAsia="Times New Roman" w:hAnsi="Times New Roman" w:cs="Times New Roman"/>
          <w:i/>
          <w:iCs/>
          <w:sz w:val="28"/>
          <w:szCs w:val="28"/>
        </w:rPr>
        <w:t>acquis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2022,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granted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candidate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membership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Recently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the E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agreed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membership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negotiations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requirements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candidate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implement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primarily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comprehensive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standards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4" w14:textId="193E5E16" w:rsidR="00C61928" w:rsidRDefault="00B4540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indicator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successful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ensuring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( a fair trial)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implementation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(ECtHR)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showed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10,400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before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ECtHR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against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demonstrate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ECtHR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delivered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144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judgments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against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In particular,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violation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European Convention on Human Rights (ECHR)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violations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procedural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pre-trial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investigations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failure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consideration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improper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enforcement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5" w14:textId="3F8BA436" w:rsidR="00C61928" w:rsidRDefault="00B4540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effectiveness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impact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further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="00CF2894">
        <w:rPr>
          <w:rFonts w:ascii="Times New Roman" w:eastAsia="Times New Roman" w:hAnsi="Times New Roman" w:cs="Times New Roman"/>
          <w:sz w:val="28"/>
          <w:szCs w:val="28"/>
          <w:lang w:val="en-GB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integration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2016,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launched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strengthen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integrity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independence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entire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established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implementation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ended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integrity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effectiveness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presidential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elections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2019,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received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attention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began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period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Parliament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approving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dissolution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established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select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thorough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integrity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procedure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assessing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candidates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membership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supposed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involve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involvement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independent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experts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changes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functioning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additional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legislative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changes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2021. </w:t>
      </w:r>
    </w:p>
    <w:p w14:paraId="00000006" w14:textId="6B4A919C" w:rsidR="00C61928" w:rsidRDefault="00B4540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Thus, according to the latest amendments, t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Ethics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enshrined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the L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[1]. </w:t>
      </w:r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Ethics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formed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assisting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bodies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elect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appoint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High</w:t>
      </w:r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establishing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compliance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candidate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position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member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CF289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High</w:t>
      </w:r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criteria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ethics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40E">
        <w:rPr>
          <w:rFonts w:ascii="Times New Roman" w:eastAsia="Times New Roman" w:hAnsi="Times New Roman" w:cs="Times New Roman"/>
          <w:sz w:val="28"/>
          <w:szCs w:val="28"/>
        </w:rPr>
        <w:t>integrity</w:t>
      </w:r>
      <w:proofErr w:type="spellEnd"/>
      <w:r w:rsidRPr="00B454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include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representatives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independent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experts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itself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December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until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2022.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became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operational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January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Ethics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vetted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selected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candidates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criticised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civil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society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experts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demonstration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candidates</w:t>
      </w:r>
      <w:proofErr w:type="spellEnd"/>
      <w:r w:rsidR="00CF2894">
        <w:rPr>
          <w:rFonts w:ascii="Times New Roman" w:eastAsia="Times New Roman" w:hAnsi="Times New Roman" w:cs="Times New Roman"/>
          <w:sz w:val="28"/>
          <w:szCs w:val="28"/>
          <w:lang w:val="en-GB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Ethics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reduces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level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transparency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7" w14:textId="77777777" w:rsidR="00C61928" w:rsidRDefault="00B4540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consisting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representatives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independent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experts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selected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functioning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January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2022,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suspended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beginning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full-scale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invasion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Federation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Civil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society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experts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constantly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feedback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selected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candidates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creation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Qualification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aspect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renewal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8" w14:textId="0DAD4174" w:rsidR="00C61928" w:rsidRDefault="00B4540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separate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Constitutional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create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competitive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selection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Constitutional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December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established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Advisory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Experts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assess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level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professionalism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candidates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Venice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taken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example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Advisory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Experts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seven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However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independent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experts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during the so-called “transition” period of 6 years will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selection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9" w14:textId="1CAB3E9A" w:rsidR="00C61928" w:rsidRDefault="00B4540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digitalisation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mentioning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leaders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provision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services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January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2019,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Unified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Telecommunication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launched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automate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document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statistical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expected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2019, 8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modules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functioning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operational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A" w14:textId="3321B90C" w:rsidR="00C61928" w:rsidRDefault="00B4540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Hence, s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aspects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already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implemented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certain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instance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still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level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workload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politicised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procedure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Implementation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steps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become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member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E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issue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analysed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improve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B" w14:textId="77777777" w:rsidR="00C61928" w:rsidRDefault="00C619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C61928" w:rsidRPr="00CF2894" w:rsidRDefault="00B4540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F2894">
        <w:rPr>
          <w:rFonts w:ascii="Times New Roman" w:eastAsia="Times New Roman" w:hAnsi="Times New Roman" w:cs="Times New Roman"/>
          <w:b/>
          <w:bCs/>
          <w:sz w:val="28"/>
          <w:szCs w:val="28"/>
        </w:rPr>
        <w:t>References</w:t>
      </w:r>
      <w:proofErr w:type="spellEnd"/>
      <w:r w:rsidRPr="00CF289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A1B56B0" w14:textId="1EF52B96" w:rsidR="00A67D34" w:rsidRPr="00A67D34" w:rsidRDefault="00A67D34" w:rsidP="00A67D3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7D3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The European Convention on Human Rights. 1950. URL</w:t>
      </w:r>
      <w:r w:rsidRPr="00A67D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5" w:history="1">
        <w:r w:rsidRPr="00A67D34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https://www.echr.coe.int/docu</w:t>
        </w:r>
        <w:r w:rsidRPr="00A67D34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m</w:t>
        </w:r>
        <w:r w:rsidRPr="00A67D34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ents/d/echr/conven</w:t>
        </w:r>
        <w:r w:rsidRPr="00A67D34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t</w:t>
        </w:r>
        <w:r w:rsidRPr="00A67D34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ion_ENG</w:t>
        </w:r>
      </w:hyperlink>
      <w:r w:rsidRPr="00A67D3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67D34">
        <w:rPr>
          <w:rFonts w:ascii="Times New Roman" w:hAnsi="Times New Roman" w:cs="Times New Roman"/>
          <w:sz w:val="28"/>
          <w:szCs w:val="28"/>
          <w:lang w:val="en-US"/>
        </w:rPr>
        <w:t>(accessed: 14.02.2024).</w:t>
      </w:r>
    </w:p>
    <w:p w14:paraId="3E95CED7" w14:textId="5D1D4B24" w:rsidR="00A67D34" w:rsidRPr="00A67D34" w:rsidRDefault="00A67D34" w:rsidP="00A67D3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7D3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EU project </w:t>
      </w:r>
      <w:proofErr w:type="spellStart"/>
      <w:r w:rsidRPr="00A67D34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67D34">
        <w:rPr>
          <w:rFonts w:ascii="Times New Roman" w:hAnsi="Times New Roman" w:cs="Times New Roman"/>
          <w:sz w:val="28"/>
          <w:szCs w:val="28"/>
          <w:lang w:val="en-US"/>
        </w:rPr>
        <w:t xml:space="preserve">-Justice. Official website. URL: </w:t>
      </w:r>
      <w:hyperlink r:id="rId6" w:history="1">
        <w:r w:rsidRPr="00A67D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https://www.pravojustice.eu/en</w:t>
        </w:r>
      </w:hyperlink>
      <w:r w:rsidRPr="00A67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D3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A67D34">
        <w:rPr>
          <w:rFonts w:ascii="Times New Roman" w:hAnsi="Times New Roman" w:cs="Times New Roman"/>
          <w:sz w:val="28"/>
          <w:szCs w:val="28"/>
          <w:lang w:val="en-US"/>
        </w:rPr>
        <w:t>accessed: 14.02.2024).</w:t>
      </w:r>
    </w:p>
    <w:p w14:paraId="0000000E" w14:textId="7A2CA099" w:rsidR="00C61928" w:rsidRPr="00A67D34" w:rsidRDefault="00B4540E" w:rsidP="00A67D3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Amendments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Certain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Legislative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Acts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Procedure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Election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Appointment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Positions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Disciplinary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Inspectors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19.10.2023 </w:t>
      </w:r>
      <w:proofErr w:type="spellStart"/>
      <w:r w:rsidRPr="00A67D34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A67D34">
        <w:rPr>
          <w:rFonts w:ascii="Times New Roman" w:eastAsia="Times New Roman" w:hAnsi="Times New Roman" w:cs="Times New Roman"/>
          <w:sz w:val="28"/>
          <w:szCs w:val="28"/>
        </w:rPr>
        <w:t>. 1635-IX</w:t>
      </w:r>
      <w:r w:rsidR="00A67D34" w:rsidRPr="00A67D3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BE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[In Ukrainian]. </w:t>
      </w:r>
      <w:r w:rsidRPr="00A67D34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7" w:anchor="w1_4" w:history="1">
        <w:r w:rsidRPr="00A67D3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https://zakon.rada.gov.ua/laws/show/1635-20?find=1&amp;text=%22Етична%22#w1_4</w:t>
        </w:r>
      </w:hyperlink>
      <w:r w:rsidRPr="00A67D3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CF2894" w:rsidRPr="00A67D3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CF2894" w:rsidRPr="00A67D34">
        <w:rPr>
          <w:rFonts w:ascii="Times New Roman" w:hAnsi="Times New Roman" w:cs="Times New Roman"/>
          <w:sz w:val="28"/>
          <w:szCs w:val="28"/>
          <w:lang w:val="en-US"/>
        </w:rPr>
        <w:t>accessed: 14.02.2024).</w:t>
      </w:r>
    </w:p>
    <w:p w14:paraId="3ACFF84A" w14:textId="77777777" w:rsidR="00A67D34" w:rsidRPr="00A67D34" w:rsidRDefault="00A67D34" w:rsidP="00A67D34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GB"/>
        </w:rPr>
      </w:pPr>
      <w:r w:rsidRPr="00A67D34">
        <w:rPr>
          <w:color w:val="000000" w:themeColor="text1"/>
          <w:sz w:val="28"/>
          <w:szCs w:val="28"/>
          <w:lang w:val="en-US"/>
        </w:rPr>
        <w:t xml:space="preserve">European Commission. Ukraine 2023 Report. </w:t>
      </w:r>
      <w:r w:rsidRPr="00A67D34">
        <w:rPr>
          <w:color w:val="000000" w:themeColor="text1"/>
          <w:sz w:val="28"/>
          <w:szCs w:val="28"/>
          <w:lang w:val="en-GB"/>
        </w:rPr>
        <w:t>URL</w:t>
      </w:r>
      <w:r w:rsidRPr="00A67D34">
        <w:rPr>
          <w:color w:val="000000" w:themeColor="text1"/>
          <w:sz w:val="28"/>
          <w:szCs w:val="28"/>
          <w:lang w:val="en-US"/>
        </w:rPr>
        <w:t xml:space="preserve">: </w:t>
      </w:r>
      <w:hyperlink r:id="rId8" w:history="1">
        <w:r w:rsidRPr="00A67D34">
          <w:rPr>
            <w:rStyle w:val="a5"/>
            <w:sz w:val="28"/>
            <w:szCs w:val="28"/>
            <w:lang w:val="en-GB"/>
          </w:rPr>
          <w:t>https://neighbourhood-enlargement.ec.europa.eu/document/download/bb61</w:t>
        </w:r>
        <w:r w:rsidRPr="00A67D34">
          <w:rPr>
            <w:rStyle w:val="a5"/>
            <w:sz w:val="28"/>
            <w:szCs w:val="28"/>
            <w:lang w:val="en-GB"/>
          </w:rPr>
          <w:t>e</w:t>
        </w:r>
        <w:r w:rsidRPr="00A67D34">
          <w:rPr>
            <w:rStyle w:val="a5"/>
            <w:sz w:val="28"/>
            <w:szCs w:val="28"/>
            <w:lang w:val="en-GB"/>
          </w:rPr>
          <w:t>a6d-dda6-4117-9347-a7191ecefc3f_en?filename=SWD_2023_699%20Ukraine%20report.pdf</w:t>
        </w:r>
      </w:hyperlink>
      <w:r w:rsidRPr="00A67D34">
        <w:rPr>
          <w:color w:val="000000" w:themeColor="text1"/>
          <w:sz w:val="28"/>
          <w:szCs w:val="28"/>
          <w:lang w:val="en-GB"/>
        </w:rPr>
        <w:t xml:space="preserve"> </w:t>
      </w:r>
      <w:r w:rsidRPr="00A67D34">
        <w:rPr>
          <w:sz w:val="28"/>
          <w:szCs w:val="28"/>
          <w:lang w:val="en-US" w:eastAsia="ru-RU"/>
        </w:rPr>
        <w:t>(accessed: 14.02.2024).</w:t>
      </w:r>
    </w:p>
    <w:p w14:paraId="668743D3" w14:textId="3BC68EBA" w:rsidR="00A67D34" w:rsidRPr="00A67D34" w:rsidRDefault="00A67D34" w:rsidP="00A67D3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D34">
        <w:rPr>
          <w:rFonts w:ascii="Times New Roman" w:hAnsi="Times New Roman" w:cs="Times New Roman"/>
          <w:sz w:val="28"/>
          <w:szCs w:val="28"/>
          <w:lang w:val="en-GB"/>
        </w:rPr>
        <w:t xml:space="preserve">Law of Ukraine “On the Judiciary and the Status of Judges”. 2016. </w:t>
      </w:r>
      <w:r w:rsidRPr="00A67D3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[In Ukrainian]. </w:t>
      </w:r>
      <w:r w:rsidRPr="00A67D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URL:</w:t>
      </w:r>
      <w:r w:rsidRPr="00A67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anchor="Text" w:history="1">
        <w:r w:rsidRPr="00A67D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https://zakon.rada.gov.ua/laws/show/14</w:t>
        </w:r>
        <w:r w:rsidRPr="00A67D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0</w:t>
        </w:r>
        <w:r w:rsidRPr="00A67D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2</w:t>
        </w:r>
        <w:r w:rsidRPr="00A67D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-19#Text</w:t>
        </w:r>
      </w:hyperlink>
      <w:r w:rsidRPr="00A67D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67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D34">
        <w:rPr>
          <w:rFonts w:ascii="Times New Roman" w:hAnsi="Times New Roman" w:cs="Times New Roman"/>
          <w:sz w:val="28"/>
          <w:szCs w:val="28"/>
          <w:lang w:val="en-US"/>
        </w:rPr>
        <w:t>(accessed: 14.02.2024).</w:t>
      </w:r>
    </w:p>
    <w:p w14:paraId="4B5E4F56" w14:textId="0D458B0E" w:rsidR="00A67D34" w:rsidRPr="00A67D34" w:rsidRDefault="00A67D34" w:rsidP="00A67D3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D34">
        <w:rPr>
          <w:rFonts w:ascii="Times New Roman" w:hAnsi="Times New Roman" w:cs="Times New Roman"/>
          <w:sz w:val="28"/>
          <w:szCs w:val="28"/>
          <w:lang w:val="en-GB"/>
        </w:rPr>
        <w:t xml:space="preserve">Law of Ukraine “On the Constitutional Court of Ukraine” from 2017. </w:t>
      </w:r>
      <w:r w:rsidRPr="00A67D3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[In Ukrainian]. URL</w:t>
      </w:r>
      <w:r w:rsidRPr="00A67D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10" w:history="1">
        <w:r w:rsidRPr="00A67D34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https://z</w:t>
        </w:r>
        <w:r w:rsidRPr="00A67D34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a</w:t>
        </w:r>
        <w:r w:rsidRPr="00A67D34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kon.rada.gov.ua/laws/show/2136-19#Text</w:t>
        </w:r>
      </w:hyperlink>
      <w:r w:rsidRPr="00A67D34">
        <w:rPr>
          <w:rStyle w:val="a5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67D34">
        <w:rPr>
          <w:rFonts w:ascii="Times New Roman" w:hAnsi="Times New Roman" w:cs="Times New Roman"/>
          <w:sz w:val="28"/>
          <w:szCs w:val="28"/>
          <w:lang w:val="en-US"/>
        </w:rPr>
        <w:t>(accessed: 14.02.2024).</w:t>
      </w:r>
      <w:r w:rsidRPr="00A67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67D34" w:rsidRPr="00A67D34" w:rsidSect="00B4540E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83679"/>
    <w:multiLevelType w:val="hybridMultilevel"/>
    <w:tmpl w:val="823491EA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75B8A"/>
    <w:multiLevelType w:val="hybridMultilevel"/>
    <w:tmpl w:val="69B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28"/>
    <w:rsid w:val="00244BEE"/>
    <w:rsid w:val="00A67D34"/>
    <w:rsid w:val="00B4540E"/>
    <w:rsid w:val="00C61928"/>
    <w:rsid w:val="00C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07613"/>
  <w15:docId w15:val="{70B7AE9A-81CB-4144-A5AA-7B387093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B4540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4540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67D3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6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9">
    <w:name w:val="FollowedHyperlink"/>
    <w:basedOn w:val="a0"/>
    <w:uiPriority w:val="99"/>
    <w:semiHidden/>
    <w:unhideWhenUsed/>
    <w:rsid w:val="00A67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ighbourhood-enlargement.ec.europa.eu/document/download/bb61ea6d-dda6-4117-9347-a7191ecefc3f_en?filename=SWD_2023_699%20Ukraine%20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35-20?find=1&amp;text=%22&#1045;&#1090;&#1080;&#1095;&#1085;&#1072;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justice.eu/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chr.coe.int/documents/d/echr/convention_ENG" TargetMode="External"/><Relationship Id="rId10" Type="http://schemas.openxmlformats.org/officeDocument/2006/relationships/hyperlink" Target="https://zakon.rada.gov.ua/laws/show/2136-19#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40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Кристина</cp:lastModifiedBy>
  <cp:revision>3</cp:revision>
  <dcterms:created xsi:type="dcterms:W3CDTF">2024-03-10T14:26:00Z</dcterms:created>
  <dcterms:modified xsi:type="dcterms:W3CDTF">2024-03-10T15:51:00Z</dcterms:modified>
</cp:coreProperties>
</file>